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7D79D9">
      <w:pPr>
        <w:spacing w:line="600" w:lineRule="exact"/>
        <w:ind w:firstLine="0" w:firstLineChars="0"/>
        <w:jc w:val="center"/>
        <w:rPr>
          <w:rFonts w:ascii="方正小标宋简体" w:hAnsi="宋体" w:eastAsia="方正小标宋简体"/>
          <w:color w:val="000000"/>
          <w:sz w:val="44"/>
          <w:szCs w:val="32"/>
        </w:rPr>
      </w:pPr>
      <w:r>
        <w:rPr>
          <w:rFonts w:hint="eastAsia" w:ascii="方正小标宋简体" w:hAnsi="宋体" w:eastAsia="方正小标宋简体"/>
          <w:color w:val="000000"/>
          <w:sz w:val="44"/>
          <w:szCs w:val="32"/>
        </w:rPr>
        <w:t>团体标准《药棒循经推拿法治疗缺血性中风偏瘫技术操作规范》（征求意见稿）编制说明</w:t>
      </w:r>
    </w:p>
    <w:p w14:paraId="3276E127">
      <w:pPr>
        <w:spacing w:line="600" w:lineRule="exact"/>
        <w:ind w:firstLine="0" w:firstLineChars="0"/>
        <w:jc w:val="center"/>
        <w:rPr>
          <w:rFonts w:ascii="方正小标宋简体" w:hAnsi="宋体" w:eastAsia="方正小标宋简体"/>
          <w:color w:val="000000"/>
          <w:sz w:val="44"/>
          <w:szCs w:val="32"/>
        </w:rPr>
      </w:pPr>
    </w:p>
    <w:p w14:paraId="2635A918">
      <w:pPr>
        <w:autoSpaceDE w:val="0"/>
        <w:autoSpaceDN w:val="0"/>
        <w:adjustRightInd w:val="0"/>
        <w:spacing w:before="156" w:beforeLines="50" w:after="156" w:afterLines="50" w:line="560" w:lineRule="exact"/>
        <w:ind w:firstLine="640"/>
        <w:jc w:val="left"/>
        <w:rPr>
          <w:rFonts w:ascii="黑体" w:hAnsi="黑体" w:eastAsia="黑体" w:cs="仿宋_GB2312"/>
          <w:szCs w:val="32"/>
        </w:rPr>
      </w:pPr>
      <w:r>
        <w:rPr>
          <w:rFonts w:hint="eastAsia" w:ascii="黑体" w:hAnsi="黑体" w:eastAsia="黑体" w:cs="仿宋_GB2312"/>
          <w:szCs w:val="32"/>
        </w:rPr>
        <w:t>一、任务来源、起草单位、主要起草人</w:t>
      </w:r>
    </w:p>
    <w:p w14:paraId="05FB782E">
      <w:pPr>
        <w:ind w:firstLine="640"/>
        <w:rPr>
          <w:rFonts w:ascii="仿宋_GB2312" w:hAnsi="宋体"/>
          <w:szCs w:val="28"/>
        </w:rPr>
      </w:pPr>
      <w:r>
        <w:rPr>
          <w:rFonts w:hint="eastAsia" w:ascii="仿宋_GB2312" w:hAnsi="宋体"/>
          <w:szCs w:val="28"/>
        </w:rPr>
        <w:t>根据《广西标准化协会关于下达2026年第六批团体标准制修订项目计划的通知》（桂标协〔2026〕71号）文件精神，由广西中西医结合学会提出，</w:t>
      </w:r>
      <w:r>
        <w:rPr>
          <w:rFonts w:hint="eastAsia"/>
          <w:color w:val="000000"/>
          <w:szCs w:val="21"/>
        </w:rPr>
        <w:t>南宁市中医医院、广西中医药大学第二附属医院、广西中医药大学第一附属医院、桂林市中医医院、梧州市中医医院</w:t>
      </w:r>
      <w:r>
        <w:rPr>
          <w:rFonts w:hint="eastAsia" w:ascii="仿宋_GB2312" w:hAnsi="宋体"/>
          <w:szCs w:val="28"/>
        </w:rPr>
        <w:t>等单位共同起草的团体标准《药棒循经推拿法治疗缺血性中风偏瘫技术操作规范》（项目编号：2026-0602）已获批立项。</w:t>
      </w:r>
    </w:p>
    <w:p w14:paraId="6F35F443">
      <w:pPr>
        <w:ind w:firstLine="640"/>
        <w:rPr>
          <w:rFonts w:ascii="仿宋_GB2312" w:hAnsi="宋体"/>
          <w:szCs w:val="28"/>
        </w:rPr>
      </w:pPr>
      <w:r>
        <w:rPr>
          <w:rFonts w:hint="eastAsia" w:ascii="仿宋_GB2312" w:hAnsi="宋体"/>
          <w:szCs w:val="28"/>
        </w:rPr>
        <w:t>为高质量编制团体标准《药棒循经推拿法治疗缺血性中风偏瘫技术操作规范》，由起草单位成立标准编制工作组并进行如下分工：</w:t>
      </w:r>
    </w:p>
    <w:tbl>
      <w:tblPr>
        <w:tblStyle w:val="8"/>
        <w:tblW w:w="5158" w:type="pct"/>
        <w:tblInd w:w="0" w:type="dxa"/>
        <w:tblLayout w:type="autofit"/>
        <w:tblCellMar>
          <w:top w:w="0" w:type="dxa"/>
          <w:left w:w="108" w:type="dxa"/>
          <w:bottom w:w="0" w:type="dxa"/>
          <w:right w:w="108" w:type="dxa"/>
        </w:tblCellMar>
      </w:tblPr>
      <w:tblGrid>
        <w:gridCol w:w="1050"/>
        <w:gridCol w:w="1869"/>
        <w:gridCol w:w="2284"/>
        <w:gridCol w:w="4261"/>
      </w:tblGrid>
      <w:tr w14:paraId="2F4C3B88">
        <w:tblPrEx>
          <w:tblCellMar>
            <w:top w:w="0" w:type="dxa"/>
            <w:left w:w="108" w:type="dxa"/>
            <w:bottom w:w="0" w:type="dxa"/>
            <w:right w:w="108" w:type="dxa"/>
          </w:tblCellMar>
        </w:tblPrEx>
        <w:trPr>
          <w:cantSplit/>
          <w:trHeight w:val="576" w:hRule="atLeast"/>
          <w:tblHeader/>
        </w:trPr>
        <w:tc>
          <w:tcPr>
            <w:tcW w:w="555" w:type="pct"/>
            <w:tcBorders>
              <w:top w:val="single" w:color="auto" w:sz="4" w:space="0"/>
              <w:left w:val="single" w:color="auto" w:sz="4" w:space="0"/>
              <w:bottom w:val="single" w:color="auto" w:sz="4" w:space="0"/>
              <w:right w:val="single" w:color="auto" w:sz="4" w:space="0"/>
            </w:tcBorders>
            <w:vAlign w:val="center"/>
          </w:tcPr>
          <w:p w14:paraId="71107D20">
            <w:pPr>
              <w:ind w:firstLine="0" w:firstLineChars="0"/>
              <w:jc w:val="center"/>
              <w:rPr>
                <w:rFonts w:ascii="仿宋_GB2312"/>
                <w:b/>
                <w:bCs/>
                <w:sz w:val="24"/>
                <w:highlight w:val="none"/>
              </w:rPr>
            </w:pPr>
            <w:r>
              <w:rPr>
                <w:rFonts w:hint="eastAsia" w:ascii="仿宋_GB2312" w:hAnsi="仿宋"/>
                <w:b/>
                <w:bCs/>
                <w:sz w:val="24"/>
                <w:highlight w:val="none"/>
              </w:rPr>
              <w:t>姓</w:t>
            </w:r>
            <w:r>
              <w:rPr>
                <w:rFonts w:hint="eastAsia" w:ascii="仿宋_GB2312"/>
                <w:b/>
                <w:bCs/>
                <w:sz w:val="24"/>
                <w:highlight w:val="none"/>
              </w:rPr>
              <w:t xml:space="preserve">  </w:t>
            </w:r>
            <w:r>
              <w:rPr>
                <w:rFonts w:hint="eastAsia" w:ascii="仿宋_GB2312" w:hAnsi="仿宋"/>
                <w:b/>
                <w:bCs/>
                <w:sz w:val="24"/>
                <w:highlight w:val="none"/>
              </w:rPr>
              <w:t>名</w:t>
            </w:r>
          </w:p>
        </w:tc>
        <w:tc>
          <w:tcPr>
            <w:tcW w:w="987" w:type="pct"/>
            <w:tcBorders>
              <w:top w:val="single" w:color="auto" w:sz="4" w:space="0"/>
              <w:left w:val="nil"/>
              <w:bottom w:val="single" w:color="auto" w:sz="4" w:space="0"/>
              <w:right w:val="single" w:color="auto" w:sz="4" w:space="0"/>
            </w:tcBorders>
            <w:vAlign w:val="center"/>
          </w:tcPr>
          <w:p w14:paraId="309231C3">
            <w:pPr>
              <w:ind w:firstLine="0" w:firstLineChars="0"/>
              <w:jc w:val="center"/>
              <w:rPr>
                <w:rFonts w:ascii="仿宋_GB2312"/>
                <w:b/>
                <w:bCs/>
                <w:sz w:val="24"/>
                <w:highlight w:val="none"/>
              </w:rPr>
            </w:pPr>
            <w:r>
              <w:rPr>
                <w:rFonts w:hint="eastAsia" w:ascii="仿宋_GB2312" w:hAnsi="仿宋"/>
                <w:b/>
                <w:bCs/>
                <w:sz w:val="24"/>
                <w:highlight w:val="none"/>
              </w:rPr>
              <w:t>职称</w:t>
            </w:r>
            <w:r>
              <w:rPr>
                <w:rFonts w:hint="eastAsia" w:ascii="仿宋_GB2312"/>
                <w:b/>
                <w:bCs/>
                <w:sz w:val="24"/>
                <w:highlight w:val="none"/>
              </w:rPr>
              <w:t>/</w:t>
            </w:r>
            <w:r>
              <w:rPr>
                <w:rFonts w:hint="eastAsia" w:ascii="仿宋_GB2312" w:hAnsi="仿宋"/>
                <w:b/>
                <w:bCs/>
                <w:sz w:val="24"/>
                <w:highlight w:val="none"/>
              </w:rPr>
              <w:t>职位</w:t>
            </w:r>
          </w:p>
        </w:tc>
        <w:tc>
          <w:tcPr>
            <w:tcW w:w="1206" w:type="pct"/>
            <w:tcBorders>
              <w:top w:val="single" w:color="auto" w:sz="4" w:space="0"/>
              <w:left w:val="nil"/>
              <w:bottom w:val="single" w:color="auto" w:sz="4" w:space="0"/>
              <w:right w:val="single" w:color="auto" w:sz="4" w:space="0"/>
            </w:tcBorders>
            <w:vAlign w:val="center"/>
          </w:tcPr>
          <w:p w14:paraId="7020886C">
            <w:pPr>
              <w:ind w:firstLine="0" w:firstLineChars="0"/>
              <w:jc w:val="center"/>
              <w:rPr>
                <w:rFonts w:ascii="仿宋_GB2312"/>
                <w:b/>
                <w:bCs/>
                <w:sz w:val="24"/>
                <w:highlight w:val="none"/>
              </w:rPr>
            </w:pPr>
            <w:r>
              <w:rPr>
                <w:rFonts w:hint="eastAsia" w:ascii="仿宋_GB2312" w:hAnsi="仿宋"/>
                <w:b/>
                <w:bCs/>
                <w:sz w:val="24"/>
                <w:highlight w:val="none"/>
              </w:rPr>
              <w:t>工作单位</w:t>
            </w:r>
          </w:p>
        </w:tc>
        <w:tc>
          <w:tcPr>
            <w:tcW w:w="2250" w:type="pct"/>
            <w:tcBorders>
              <w:top w:val="single" w:color="auto" w:sz="4" w:space="0"/>
              <w:left w:val="nil"/>
              <w:bottom w:val="single" w:color="auto" w:sz="4" w:space="0"/>
              <w:right w:val="single" w:color="auto" w:sz="4" w:space="0"/>
            </w:tcBorders>
            <w:vAlign w:val="center"/>
          </w:tcPr>
          <w:p w14:paraId="54EA68FA">
            <w:pPr>
              <w:ind w:firstLine="0" w:firstLineChars="0"/>
              <w:jc w:val="center"/>
              <w:rPr>
                <w:rFonts w:ascii="仿宋_GB2312"/>
                <w:b/>
                <w:bCs/>
                <w:sz w:val="24"/>
                <w:highlight w:val="none"/>
              </w:rPr>
            </w:pPr>
            <w:r>
              <w:rPr>
                <w:rFonts w:hint="eastAsia" w:ascii="仿宋_GB2312" w:hAnsi="仿宋"/>
                <w:b/>
                <w:bCs/>
                <w:sz w:val="24"/>
                <w:highlight w:val="none"/>
              </w:rPr>
              <w:t>主要负责工作</w:t>
            </w:r>
          </w:p>
        </w:tc>
      </w:tr>
      <w:tr w14:paraId="52D67664">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23205E27">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陈薇</w:t>
            </w:r>
          </w:p>
        </w:tc>
        <w:tc>
          <w:tcPr>
            <w:tcW w:w="987" w:type="pct"/>
            <w:tcBorders>
              <w:top w:val="single" w:color="auto" w:sz="4" w:space="0"/>
              <w:left w:val="nil"/>
              <w:bottom w:val="single" w:color="auto" w:sz="4" w:space="0"/>
              <w:right w:val="single" w:color="auto" w:sz="4" w:space="0"/>
            </w:tcBorders>
            <w:vAlign w:val="center"/>
          </w:tcPr>
          <w:p w14:paraId="6A62FA74">
            <w:pPr>
              <w:ind w:firstLine="0" w:firstLineChars="0"/>
              <w:jc w:val="center"/>
              <w:rPr>
                <w:rFonts w:ascii="仿宋_GB2312" w:hAnsi="仿宋" w:cs="宋体"/>
                <w:sz w:val="24"/>
                <w:highlight w:val="none"/>
              </w:rPr>
            </w:pPr>
            <w:r>
              <w:rPr>
                <w:rFonts w:hint="eastAsia"/>
                <w:sz w:val="24"/>
                <w:highlight w:val="none"/>
              </w:rPr>
              <w:t>副主任医师</w:t>
            </w:r>
          </w:p>
        </w:tc>
        <w:tc>
          <w:tcPr>
            <w:tcW w:w="1206" w:type="pct"/>
            <w:tcBorders>
              <w:top w:val="single" w:color="000000" w:sz="2" w:space="0"/>
              <w:left w:val="nil"/>
              <w:bottom w:val="single" w:color="000000" w:sz="2" w:space="0"/>
              <w:right w:val="single" w:color="auto" w:sz="4" w:space="0"/>
            </w:tcBorders>
            <w:vAlign w:val="center"/>
          </w:tcPr>
          <w:p w14:paraId="78996B63">
            <w:pPr>
              <w:ind w:firstLine="0" w:firstLineChars="0"/>
              <w:jc w:val="center"/>
              <w:rPr>
                <w:rFonts w:ascii="仿宋_GB2312" w:hAnsi="仿宋" w:cs="宋体"/>
                <w:sz w:val="24"/>
                <w:highlight w:val="none"/>
              </w:rPr>
            </w:pPr>
            <w:r>
              <w:rPr>
                <w:rFonts w:hint="eastAsia"/>
                <w:sz w:val="24"/>
                <w:highlight w:val="none"/>
              </w:rPr>
              <w:t>南宁市中医医院</w:t>
            </w:r>
          </w:p>
        </w:tc>
        <w:tc>
          <w:tcPr>
            <w:tcW w:w="2250" w:type="pct"/>
            <w:tcBorders>
              <w:top w:val="single" w:color="auto" w:sz="4" w:space="0"/>
              <w:left w:val="nil"/>
              <w:bottom w:val="single" w:color="auto" w:sz="4" w:space="0"/>
              <w:right w:val="single" w:color="auto" w:sz="4" w:space="0"/>
            </w:tcBorders>
            <w:vAlign w:val="center"/>
          </w:tcPr>
          <w:p w14:paraId="46BD0E82">
            <w:pPr>
              <w:ind w:firstLine="0" w:firstLineChars="0"/>
              <w:rPr>
                <w:rFonts w:ascii="仿宋_GB2312"/>
                <w:sz w:val="24"/>
                <w:highlight w:val="none"/>
              </w:rPr>
            </w:pPr>
            <w:r>
              <w:rPr>
                <w:rFonts w:hint="eastAsia" w:ascii="仿宋_GB2312"/>
                <w:sz w:val="24"/>
                <w:highlight w:val="none"/>
              </w:rPr>
              <w:t>统筹主持标准编制工作</w:t>
            </w:r>
          </w:p>
        </w:tc>
      </w:tr>
      <w:tr w14:paraId="187A3BBD">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1F304A2E">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古联</w:t>
            </w:r>
          </w:p>
        </w:tc>
        <w:tc>
          <w:tcPr>
            <w:tcW w:w="987" w:type="pct"/>
            <w:tcBorders>
              <w:top w:val="single" w:color="auto" w:sz="4" w:space="0"/>
              <w:left w:val="nil"/>
              <w:bottom w:val="single" w:color="auto" w:sz="4" w:space="0"/>
              <w:right w:val="single" w:color="auto" w:sz="4" w:space="0"/>
            </w:tcBorders>
            <w:vAlign w:val="center"/>
          </w:tcPr>
          <w:p w14:paraId="376AD98C">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主任医师</w:t>
            </w:r>
          </w:p>
        </w:tc>
        <w:tc>
          <w:tcPr>
            <w:tcW w:w="1206" w:type="pct"/>
            <w:tcBorders>
              <w:top w:val="single" w:color="000000" w:sz="2" w:space="0"/>
              <w:left w:val="nil"/>
              <w:bottom w:val="single" w:color="000000" w:sz="2" w:space="0"/>
              <w:right w:val="single" w:color="auto" w:sz="4" w:space="0"/>
            </w:tcBorders>
            <w:vAlign w:val="center"/>
          </w:tcPr>
          <w:p w14:paraId="2AF35DE3">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广西中医药大学第二附属医院</w:t>
            </w:r>
          </w:p>
        </w:tc>
        <w:tc>
          <w:tcPr>
            <w:tcW w:w="2250" w:type="pct"/>
            <w:tcBorders>
              <w:top w:val="single" w:color="auto" w:sz="4" w:space="0"/>
              <w:left w:val="nil"/>
              <w:bottom w:val="single" w:color="auto" w:sz="4" w:space="0"/>
              <w:right w:val="single" w:color="auto" w:sz="4" w:space="0"/>
            </w:tcBorders>
            <w:vAlign w:val="center"/>
          </w:tcPr>
          <w:p w14:paraId="75ABC2CA">
            <w:pPr>
              <w:ind w:firstLine="0" w:firstLineChars="0"/>
              <w:rPr>
                <w:rFonts w:ascii="仿宋_GB2312"/>
                <w:sz w:val="24"/>
                <w:highlight w:val="none"/>
              </w:rPr>
            </w:pPr>
            <w:r>
              <w:rPr>
                <w:rFonts w:hint="eastAsia" w:ascii="仿宋_GB2312"/>
                <w:sz w:val="24"/>
                <w:highlight w:val="none"/>
              </w:rPr>
              <w:t>参与标准文本及编制说明编写，质量控制。</w:t>
            </w:r>
          </w:p>
        </w:tc>
      </w:tr>
      <w:tr w14:paraId="4778E6AF">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60268008">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陈海峰</w:t>
            </w:r>
          </w:p>
        </w:tc>
        <w:tc>
          <w:tcPr>
            <w:tcW w:w="987" w:type="pct"/>
            <w:tcBorders>
              <w:top w:val="single" w:color="auto" w:sz="4" w:space="0"/>
              <w:left w:val="nil"/>
              <w:bottom w:val="single" w:color="auto" w:sz="4" w:space="0"/>
              <w:right w:val="single" w:color="auto" w:sz="4" w:space="0"/>
            </w:tcBorders>
            <w:vAlign w:val="center"/>
          </w:tcPr>
          <w:p w14:paraId="12A71106">
            <w:pPr>
              <w:ind w:firstLine="0" w:firstLineChars="0"/>
              <w:jc w:val="center"/>
              <w:rPr>
                <w:rFonts w:ascii="仿宋_GB2312" w:hAnsi="仿宋" w:cs="宋体"/>
                <w:sz w:val="24"/>
                <w:highlight w:val="none"/>
              </w:rPr>
            </w:pPr>
            <w:r>
              <w:rPr>
                <w:rFonts w:hint="eastAsia"/>
                <w:sz w:val="24"/>
                <w:highlight w:val="none"/>
              </w:rPr>
              <w:t>主治医师</w:t>
            </w:r>
          </w:p>
        </w:tc>
        <w:tc>
          <w:tcPr>
            <w:tcW w:w="1206" w:type="pct"/>
            <w:tcBorders>
              <w:top w:val="single" w:color="000000" w:sz="2" w:space="0"/>
              <w:left w:val="nil"/>
              <w:bottom w:val="single" w:color="000000" w:sz="2" w:space="0"/>
              <w:right w:val="single" w:color="auto" w:sz="4" w:space="0"/>
            </w:tcBorders>
            <w:vAlign w:val="center"/>
          </w:tcPr>
          <w:p w14:paraId="1630E42D">
            <w:pPr>
              <w:ind w:firstLine="0" w:firstLineChars="0"/>
              <w:jc w:val="center"/>
              <w:rPr>
                <w:rFonts w:ascii="仿宋_GB2312" w:hAnsi="仿宋" w:cs="宋体"/>
                <w:sz w:val="24"/>
                <w:highlight w:val="none"/>
              </w:rPr>
            </w:pPr>
            <w:r>
              <w:rPr>
                <w:rFonts w:hint="eastAsia"/>
                <w:sz w:val="24"/>
                <w:highlight w:val="none"/>
              </w:rPr>
              <w:t>南宁市中医医院</w:t>
            </w:r>
          </w:p>
        </w:tc>
        <w:tc>
          <w:tcPr>
            <w:tcW w:w="2250" w:type="pct"/>
            <w:tcBorders>
              <w:top w:val="single" w:color="auto" w:sz="4" w:space="0"/>
              <w:left w:val="nil"/>
              <w:bottom w:val="single" w:color="auto" w:sz="4" w:space="0"/>
              <w:right w:val="single" w:color="auto" w:sz="4" w:space="0"/>
            </w:tcBorders>
            <w:vAlign w:val="center"/>
          </w:tcPr>
          <w:p w14:paraId="0A2A3DF1">
            <w:pPr>
              <w:ind w:firstLine="0" w:firstLineChars="0"/>
              <w:rPr>
                <w:rFonts w:ascii="仿宋_GB2312"/>
                <w:sz w:val="24"/>
                <w:highlight w:val="none"/>
              </w:rPr>
            </w:pPr>
            <w:r>
              <w:rPr>
                <w:rFonts w:hint="eastAsia" w:ascii="仿宋_GB2312"/>
                <w:sz w:val="24"/>
                <w:highlight w:val="none"/>
              </w:rPr>
              <w:t>参与标准编制工作，组织人员进行标准发布后的宣贯培训。</w:t>
            </w:r>
          </w:p>
        </w:tc>
      </w:tr>
      <w:tr w14:paraId="0374B3BD">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632B544F">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施清燕</w:t>
            </w:r>
          </w:p>
        </w:tc>
        <w:tc>
          <w:tcPr>
            <w:tcW w:w="987" w:type="pct"/>
            <w:tcBorders>
              <w:top w:val="single" w:color="auto" w:sz="4" w:space="0"/>
              <w:left w:val="nil"/>
              <w:bottom w:val="single" w:color="auto" w:sz="4" w:space="0"/>
              <w:right w:val="single" w:color="auto" w:sz="4" w:space="0"/>
            </w:tcBorders>
            <w:vAlign w:val="center"/>
          </w:tcPr>
          <w:p w14:paraId="4B5ED7E5">
            <w:pPr>
              <w:ind w:firstLine="0" w:firstLineChars="0"/>
              <w:jc w:val="center"/>
              <w:rPr>
                <w:rFonts w:ascii="仿宋_GB2312" w:hAnsi="仿宋" w:cs="宋体"/>
                <w:sz w:val="24"/>
                <w:highlight w:val="none"/>
              </w:rPr>
            </w:pPr>
            <w:r>
              <w:rPr>
                <w:rFonts w:hint="eastAsia" w:ascii="仿宋_GB2312"/>
                <w:sz w:val="24"/>
                <w:highlight w:val="none"/>
              </w:rPr>
              <w:t>主管护师</w:t>
            </w:r>
          </w:p>
        </w:tc>
        <w:tc>
          <w:tcPr>
            <w:tcW w:w="1206" w:type="pct"/>
            <w:tcBorders>
              <w:top w:val="single" w:color="000000" w:sz="2" w:space="0"/>
              <w:left w:val="nil"/>
              <w:bottom w:val="single" w:color="000000" w:sz="2" w:space="0"/>
              <w:right w:val="single" w:color="auto" w:sz="4" w:space="0"/>
            </w:tcBorders>
            <w:vAlign w:val="center"/>
          </w:tcPr>
          <w:p w14:paraId="440BB508">
            <w:pPr>
              <w:ind w:firstLine="0" w:firstLineChars="0"/>
              <w:jc w:val="center"/>
              <w:rPr>
                <w:rFonts w:ascii="仿宋_GB2312" w:hAnsi="仿宋" w:cs="宋体"/>
                <w:sz w:val="24"/>
                <w:highlight w:val="none"/>
              </w:rPr>
            </w:pPr>
            <w:r>
              <w:rPr>
                <w:rFonts w:hint="eastAsia" w:ascii="仿宋_GB2312"/>
                <w:sz w:val="24"/>
                <w:highlight w:val="none"/>
              </w:rPr>
              <w:t>南宁市中医医院</w:t>
            </w:r>
          </w:p>
        </w:tc>
        <w:tc>
          <w:tcPr>
            <w:tcW w:w="2250" w:type="pct"/>
            <w:tcBorders>
              <w:top w:val="single" w:color="auto" w:sz="4" w:space="0"/>
              <w:left w:val="nil"/>
              <w:bottom w:val="single" w:color="auto" w:sz="4" w:space="0"/>
              <w:right w:val="single" w:color="auto" w:sz="4" w:space="0"/>
            </w:tcBorders>
            <w:vAlign w:val="center"/>
          </w:tcPr>
          <w:p w14:paraId="0AB6BA70">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473F1A42">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096EDAC9">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凌笑琴</w:t>
            </w:r>
          </w:p>
        </w:tc>
        <w:tc>
          <w:tcPr>
            <w:tcW w:w="987" w:type="pct"/>
            <w:tcBorders>
              <w:top w:val="single" w:color="auto" w:sz="4" w:space="0"/>
              <w:left w:val="nil"/>
              <w:bottom w:val="single" w:color="auto" w:sz="4" w:space="0"/>
              <w:right w:val="single" w:color="auto" w:sz="4" w:space="0"/>
            </w:tcBorders>
            <w:vAlign w:val="center"/>
          </w:tcPr>
          <w:p w14:paraId="573D2823">
            <w:pPr>
              <w:ind w:firstLine="0" w:firstLineChars="0"/>
              <w:jc w:val="center"/>
              <w:rPr>
                <w:rFonts w:ascii="仿宋_GB2312" w:hAnsi="仿宋" w:cs="宋体"/>
                <w:sz w:val="24"/>
                <w:highlight w:val="none"/>
              </w:rPr>
            </w:pPr>
            <w:r>
              <w:rPr>
                <w:rFonts w:hint="eastAsia" w:ascii="仿宋_GB2312"/>
                <w:sz w:val="24"/>
                <w:highlight w:val="none"/>
              </w:rPr>
              <w:t>主治医师</w:t>
            </w:r>
          </w:p>
        </w:tc>
        <w:tc>
          <w:tcPr>
            <w:tcW w:w="1206" w:type="pct"/>
            <w:tcBorders>
              <w:top w:val="single" w:color="000000" w:sz="2" w:space="0"/>
              <w:left w:val="nil"/>
              <w:bottom w:val="single" w:color="000000" w:sz="2" w:space="0"/>
              <w:right w:val="single" w:color="auto" w:sz="4" w:space="0"/>
            </w:tcBorders>
            <w:vAlign w:val="center"/>
          </w:tcPr>
          <w:p w14:paraId="4E1C73D2">
            <w:pPr>
              <w:ind w:firstLine="0" w:firstLineChars="0"/>
              <w:jc w:val="center"/>
              <w:rPr>
                <w:rFonts w:ascii="仿宋_GB2312" w:hAnsi="仿宋" w:cs="宋体"/>
                <w:sz w:val="24"/>
                <w:highlight w:val="none"/>
              </w:rPr>
            </w:pPr>
            <w:r>
              <w:rPr>
                <w:rFonts w:hint="eastAsia" w:ascii="仿宋_GB2312"/>
                <w:sz w:val="24"/>
                <w:highlight w:val="none"/>
              </w:rPr>
              <w:t>南宁市中医医院</w:t>
            </w:r>
          </w:p>
        </w:tc>
        <w:tc>
          <w:tcPr>
            <w:tcW w:w="2250" w:type="pct"/>
            <w:tcBorders>
              <w:top w:val="single" w:color="auto" w:sz="4" w:space="0"/>
              <w:left w:val="nil"/>
              <w:bottom w:val="single" w:color="auto" w:sz="4" w:space="0"/>
              <w:right w:val="single" w:color="auto" w:sz="4" w:space="0"/>
            </w:tcBorders>
            <w:vAlign w:val="center"/>
          </w:tcPr>
          <w:p w14:paraId="1874D27F">
            <w:pPr>
              <w:ind w:firstLine="0" w:firstLineChars="0"/>
              <w:rPr>
                <w:rFonts w:ascii="仿宋_GB2312"/>
                <w:sz w:val="24"/>
                <w:highlight w:val="none"/>
              </w:rPr>
            </w:pPr>
            <w:r>
              <w:rPr>
                <w:rFonts w:hint="eastAsia" w:ascii="仿宋_GB2312"/>
                <w:sz w:val="24"/>
                <w:highlight w:val="none"/>
              </w:rPr>
              <w:t>参与标准文本及编制说明的编写；组织开展标准征求意见会</w:t>
            </w:r>
          </w:p>
        </w:tc>
      </w:tr>
      <w:tr w14:paraId="18A36126">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59A06945">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吴鹏</w:t>
            </w:r>
          </w:p>
        </w:tc>
        <w:tc>
          <w:tcPr>
            <w:tcW w:w="987" w:type="pct"/>
            <w:tcBorders>
              <w:top w:val="single" w:color="auto" w:sz="4" w:space="0"/>
              <w:left w:val="nil"/>
              <w:bottom w:val="single" w:color="auto" w:sz="4" w:space="0"/>
              <w:right w:val="single" w:color="auto" w:sz="4" w:space="0"/>
            </w:tcBorders>
            <w:vAlign w:val="center"/>
          </w:tcPr>
          <w:p w14:paraId="13117D55">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主任医师</w:t>
            </w:r>
          </w:p>
        </w:tc>
        <w:tc>
          <w:tcPr>
            <w:tcW w:w="1206" w:type="pct"/>
            <w:tcBorders>
              <w:top w:val="single" w:color="000000" w:sz="2" w:space="0"/>
              <w:left w:val="nil"/>
              <w:bottom w:val="single" w:color="000000" w:sz="2" w:space="0"/>
              <w:right w:val="single" w:color="auto" w:sz="4" w:space="0"/>
            </w:tcBorders>
            <w:vAlign w:val="center"/>
          </w:tcPr>
          <w:p w14:paraId="6530223F">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广西中医药大学第二附属医院</w:t>
            </w:r>
          </w:p>
        </w:tc>
        <w:tc>
          <w:tcPr>
            <w:tcW w:w="2250" w:type="pct"/>
            <w:tcBorders>
              <w:top w:val="single" w:color="auto" w:sz="4" w:space="0"/>
              <w:left w:val="nil"/>
              <w:bottom w:val="single" w:color="auto" w:sz="4" w:space="0"/>
              <w:right w:val="single" w:color="auto" w:sz="4" w:space="0"/>
            </w:tcBorders>
            <w:vAlign w:val="center"/>
          </w:tcPr>
          <w:p w14:paraId="2EAD2C1A">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13CB4CFA">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3DC8C494">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刘永辉</w:t>
            </w:r>
          </w:p>
        </w:tc>
        <w:tc>
          <w:tcPr>
            <w:tcW w:w="987" w:type="pct"/>
            <w:tcBorders>
              <w:top w:val="single" w:color="auto" w:sz="4" w:space="0"/>
              <w:left w:val="nil"/>
              <w:bottom w:val="single" w:color="auto" w:sz="4" w:space="0"/>
              <w:right w:val="single" w:color="auto" w:sz="4" w:space="0"/>
            </w:tcBorders>
            <w:vAlign w:val="center"/>
          </w:tcPr>
          <w:p w14:paraId="0C5F66E0">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主任医师</w:t>
            </w:r>
          </w:p>
        </w:tc>
        <w:tc>
          <w:tcPr>
            <w:tcW w:w="1206" w:type="pct"/>
            <w:tcBorders>
              <w:top w:val="single" w:color="000000" w:sz="2" w:space="0"/>
              <w:left w:val="nil"/>
              <w:bottom w:val="single" w:color="000000" w:sz="2" w:space="0"/>
              <w:right w:val="single" w:color="auto" w:sz="4" w:space="0"/>
            </w:tcBorders>
            <w:vAlign w:val="center"/>
          </w:tcPr>
          <w:p w14:paraId="35945F52">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广西中医药大学第一附属医院</w:t>
            </w:r>
          </w:p>
        </w:tc>
        <w:tc>
          <w:tcPr>
            <w:tcW w:w="2250" w:type="pct"/>
            <w:tcBorders>
              <w:top w:val="single" w:color="auto" w:sz="4" w:space="0"/>
              <w:left w:val="nil"/>
              <w:bottom w:val="single" w:color="auto" w:sz="4" w:space="0"/>
              <w:right w:val="single" w:color="auto" w:sz="4" w:space="0"/>
            </w:tcBorders>
            <w:vAlign w:val="center"/>
          </w:tcPr>
          <w:p w14:paraId="4F773EB5">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12F7D6BC">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15F47C24">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周义杰</w:t>
            </w:r>
          </w:p>
        </w:tc>
        <w:tc>
          <w:tcPr>
            <w:tcW w:w="987" w:type="pct"/>
            <w:tcBorders>
              <w:top w:val="single" w:color="auto" w:sz="4" w:space="0"/>
              <w:left w:val="nil"/>
              <w:bottom w:val="single" w:color="auto" w:sz="4" w:space="0"/>
              <w:right w:val="single" w:color="auto" w:sz="4" w:space="0"/>
            </w:tcBorders>
            <w:vAlign w:val="center"/>
          </w:tcPr>
          <w:p w14:paraId="7CC3D957">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主任医师</w:t>
            </w:r>
          </w:p>
        </w:tc>
        <w:tc>
          <w:tcPr>
            <w:tcW w:w="1206" w:type="pct"/>
            <w:tcBorders>
              <w:top w:val="single" w:color="000000" w:sz="2" w:space="0"/>
              <w:left w:val="nil"/>
              <w:bottom w:val="single" w:color="000000" w:sz="2" w:space="0"/>
              <w:right w:val="single" w:color="auto" w:sz="4" w:space="0"/>
            </w:tcBorders>
            <w:vAlign w:val="center"/>
          </w:tcPr>
          <w:p w14:paraId="708873FE">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桂林市中医医院</w:t>
            </w:r>
          </w:p>
        </w:tc>
        <w:tc>
          <w:tcPr>
            <w:tcW w:w="2250" w:type="pct"/>
            <w:tcBorders>
              <w:top w:val="single" w:color="auto" w:sz="4" w:space="0"/>
              <w:left w:val="nil"/>
              <w:bottom w:val="single" w:color="auto" w:sz="4" w:space="0"/>
              <w:right w:val="single" w:color="auto" w:sz="4" w:space="0"/>
            </w:tcBorders>
            <w:vAlign w:val="center"/>
          </w:tcPr>
          <w:p w14:paraId="06C12466">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6E96F9B3">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4C47927A">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徐守权</w:t>
            </w:r>
          </w:p>
        </w:tc>
        <w:tc>
          <w:tcPr>
            <w:tcW w:w="987" w:type="pct"/>
            <w:tcBorders>
              <w:top w:val="single" w:color="auto" w:sz="4" w:space="0"/>
              <w:left w:val="nil"/>
              <w:bottom w:val="single" w:color="auto" w:sz="4" w:space="0"/>
              <w:right w:val="single" w:color="auto" w:sz="4" w:space="0"/>
            </w:tcBorders>
            <w:vAlign w:val="center"/>
          </w:tcPr>
          <w:p w14:paraId="44FE1F63">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副主任医师</w:t>
            </w:r>
          </w:p>
        </w:tc>
        <w:tc>
          <w:tcPr>
            <w:tcW w:w="1206" w:type="pct"/>
            <w:tcBorders>
              <w:top w:val="single" w:color="000000" w:sz="2" w:space="0"/>
              <w:left w:val="nil"/>
              <w:bottom w:val="single" w:color="000000" w:sz="2" w:space="0"/>
              <w:right w:val="single" w:color="auto" w:sz="4" w:space="0"/>
            </w:tcBorders>
            <w:vAlign w:val="center"/>
          </w:tcPr>
          <w:p w14:paraId="16DEBE63">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梧州市中医医院</w:t>
            </w:r>
          </w:p>
        </w:tc>
        <w:tc>
          <w:tcPr>
            <w:tcW w:w="2250" w:type="pct"/>
            <w:tcBorders>
              <w:top w:val="single" w:color="auto" w:sz="4" w:space="0"/>
              <w:left w:val="nil"/>
              <w:bottom w:val="single" w:color="auto" w:sz="4" w:space="0"/>
              <w:right w:val="single" w:color="auto" w:sz="4" w:space="0"/>
            </w:tcBorders>
            <w:vAlign w:val="center"/>
          </w:tcPr>
          <w:p w14:paraId="46287E2F">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1C5EE784">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550B1582">
            <w:pPr>
              <w:ind w:firstLine="0" w:firstLineChars="0"/>
              <w:jc w:val="center"/>
              <w:rPr>
                <w:rFonts w:hint="eastAsia"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李超杰</w:t>
            </w:r>
          </w:p>
        </w:tc>
        <w:tc>
          <w:tcPr>
            <w:tcW w:w="987" w:type="pct"/>
            <w:tcBorders>
              <w:top w:val="single" w:color="auto" w:sz="4" w:space="0"/>
              <w:left w:val="nil"/>
              <w:bottom w:val="single" w:color="auto" w:sz="4" w:space="0"/>
              <w:right w:val="single" w:color="auto" w:sz="4" w:space="0"/>
            </w:tcBorders>
            <w:vAlign w:val="center"/>
          </w:tcPr>
          <w:p w14:paraId="2DD484A1">
            <w:pPr>
              <w:ind w:firstLine="0" w:firstLineChars="0"/>
              <w:jc w:val="center"/>
              <w:rPr>
                <w:rFonts w:hint="eastAsia" w:ascii="仿宋_GB2312" w:hAnsi="仿宋" w:cs="宋体"/>
                <w:sz w:val="24"/>
                <w:highlight w:val="none"/>
                <w:lang w:val="en-US" w:eastAsia="zh-CN"/>
              </w:rPr>
            </w:pPr>
            <w:r>
              <w:rPr>
                <w:rFonts w:hint="eastAsia" w:ascii="仿宋_GB2312" w:hAnsi="仿宋" w:cs="宋体"/>
                <w:sz w:val="24"/>
                <w:highlight w:val="none"/>
                <w:lang w:val="en-US" w:eastAsia="zh-CN"/>
              </w:rPr>
              <w:t>副主任医师</w:t>
            </w:r>
          </w:p>
        </w:tc>
        <w:tc>
          <w:tcPr>
            <w:tcW w:w="1206" w:type="pct"/>
            <w:tcBorders>
              <w:top w:val="single" w:color="000000" w:sz="2" w:space="0"/>
              <w:left w:val="nil"/>
              <w:bottom w:val="single" w:color="000000" w:sz="2" w:space="0"/>
              <w:right w:val="single" w:color="auto" w:sz="4" w:space="0"/>
            </w:tcBorders>
            <w:vAlign w:val="center"/>
          </w:tcPr>
          <w:p w14:paraId="52B77230">
            <w:pPr>
              <w:ind w:firstLine="0" w:firstLineChars="0"/>
              <w:jc w:val="center"/>
              <w:rPr>
                <w:rFonts w:hint="eastAsia" w:ascii="仿宋_GB2312" w:hAnsi="仿宋" w:cs="宋体"/>
                <w:sz w:val="24"/>
                <w:highlight w:val="none"/>
                <w:lang w:val="en-US" w:eastAsia="zh-CN"/>
              </w:rPr>
            </w:pPr>
            <w:r>
              <w:rPr>
                <w:rFonts w:hint="eastAsia" w:ascii="仿宋_GB2312" w:hAnsi="仿宋" w:cs="宋体"/>
                <w:sz w:val="24"/>
                <w:highlight w:val="none"/>
                <w:lang w:val="en-US" w:eastAsia="zh-CN"/>
              </w:rPr>
              <w:t>梧州市中医医院</w:t>
            </w:r>
          </w:p>
        </w:tc>
        <w:tc>
          <w:tcPr>
            <w:tcW w:w="2250" w:type="pct"/>
            <w:tcBorders>
              <w:top w:val="single" w:color="auto" w:sz="4" w:space="0"/>
              <w:left w:val="nil"/>
              <w:bottom w:val="single" w:color="auto" w:sz="4" w:space="0"/>
              <w:right w:val="single" w:color="auto" w:sz="4" w:space="0"/>
            </w:tcBorders>
            <w:vAlign w:val="center"/>
          </w:tcPr>
          <w:p w14:paraId="4DB88C0B">
            <w:pPr>
              <w:ind w:firstLine="0" w:firstLineChars="0"/>
              <w:rPr>
                <w:rFonts w:hint="eastAsia" w:ascii="仿宋_GB2312"/>
                <w:sz w:val="24"/>
                <w:highlight w:val="none"/>
              </w:rPr>
            </w:pPr>
            <w:r>
              <w:rPr>
                <w:rFonts w:hint="eastAsia" w:ascii="仿宋_GB2312"/>
                <w:sz w:val="24"/>
                <w:highlight w:val="none"/>
              </w:rPr>
              <w:t>对标准实施情况进行总结分析，不断对团体标准提出修正意见。</w:t>
            </w:r>
          </w:p>
        </w:tc>
      </w:tr>
      <w:tr w14:paraId="5E93D125">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77CD2A42">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胡恕艳</w:t>
            </w:r>
          </w:p>
        </w:tc>
        <w:tc>
          <w:tcPr>
            <w:tcW w:w="987" w:type="pct"/>
            <w:tcBorders>
              <w:top w:val="single" w:color="auto" w:sz="4" w:space="0"/>
              <w:left w:val="nil"/>
              <w:bottom w:val="single" w:color="auto" w:sz="4" w:space="0"/>
              <w:right w:val="single" w:color="auto" w:sz="4" w:space="0"/>
            </w:tcBorders>
            <w:vAlign w:val="center"/>
          </w:tcPr>
          <w:p w14:paraId="688487D0">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副主任医师</w:t>
            </w:r>
          </w:p>
        </w:tc>
        <w:tc>
          <w:tcPr>
            <w:tcW w:w="1206" w:type="pct"/>
            <w:tcBorders>
              <w:top w:val="single" w:color="000000" w:sz="2" w:space="0"/>
              <w:left w:val="nil"/>
              <w:bottom w:val="single" w:color="000000" w:sz="2" w:space="0"/>
              <w:right w:val="single" w:color="auto" w:sz="4" w:space="0"/>
            </w:tcBorders>
            <w:vAlign w:val="center"/>
          </w:tcPr>
          <w:p w14:paraId="6D64A1A0">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广西中医药大学第一附属医院</w:t>
            </w:r>
          </w:p>
        </w:tc>
        <w:tc>
          <w:tcPr>
            <w:tcW w:w="2250" w:type="pct"/>
            <w:tcBorders>
              <w:top w:val="single" w:color="auto" w:sz="4" w:space="0"/>
              <w:left w:val="nil"/>
              <w:bottom w:val="single" w:color="auto" w:sz="4" w:space="0"/>
              <w:right w:val="single" w:color="auto" w:sz="4" w:space="0"/>
            </w:tcBorders>
            <w:vAlign w:val="center"/>
          </w:tcPr>
          <w:p w14:paraId="3FCF3F99">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37235341">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334B31A7">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银星凤</w:t>
            </w:r>
          </w:p>
        </w:tc>
        <w:tc>
          <w:tcPr>
            <w:tcW w:w="987" w:type="pct"/>
            <w:tcBorders>
              <w:top w:val="single" w:color="auto" w:sz="4" w:space="0"/>
              <w:left w:val="nil"/>
              <w:bottom w:val="single" w:color="auto" w:sz="4" w:space="0"/>
              <w:right w:val="single" w:color="auto" w:sz="4" w:space="0"/>
            </w:tcBorders>
            <w:vAlign w:val="center"/>
          </w:tcPr>
          <w:p w14:paraId="51603600">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副主任护师</w:t>
            </w:r>
          </w:p>
        </w:tc>
        <w:tc>
          <w:tcPr>
            <w:tcW w:w="1206" w:type="pct"/>
            <w:tcBorders>
              <w:top w:val="single" w:color="000000" w:sz="2" w:space="0"/>
              <w:left w:val="nil"/>
              <w:bottom w:val="single" w:color="000000" w:sz="2" w:space="0"/>
              <w:right w:val="single" w:color="auto" w:sz="4" w:space="0"/>
            </w:tcBorders>
            <w:vAlign w:val="center"/>
          </w:tcPr>
          <w:p w14:paraId="74D6AC5C">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广西中医药大学第二附属医院</w:t>
            </w:r>
          </w:p>
        </w:tc>
        <w:tc>
          <w:tcPr>
            <w:tcW w:w="2250" w:type="pct"/>
            <w:tcBorders>
              <w:top w:val="single" w:color="auto" w:sz="4" w:space="0"/>
              <w:left w:val="nil"/>
              <w:bottom w:val="single" w:color="auto" w:sz="4" w:space="0"/>
              <w:right w:val="single" w:color="auto" w:sz="4" w:space="0"/>
            </w:tcBorders>
            <w:vAlign w:val="center"/>
          </w:tcPr>
          <w:p w14:paraId="6ADE37FF">
            <w:pPr>
              <w:ind w:firstLine="0" w:firstLineChars="0"/>
              <w:rPr>
                <w:rFonts w:ascii="仿宋_GB2312"/>
                <w:sz w:val="24"/>
                <w:highlight w:val="none"/>
              </w:rPr>
            </w:pPr>
            <w:r>
              <w:rPr>
                <w:rFonts w:hint="eastAsia" w:ascii="仿宋_GB2312"/>
                <w:sz w:val="24"/>
                <w:highlight w:val="none"/>
              </w:rPr>
              <w:t>参与标准文本及编制说明的编写；组织开展标准征求意见会</w:t>
            </w:r>
          </w:p>
        </w:tc>
      </w:tr>
      <w:tr w14:paraId="41422AFC">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4E8661B0">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韦荣宝</w:t>
            </w:r>
          </w:p>
        </w:tc>
        <w:tc>
          <w:tcPr>
            <w:tcW w:w="987" w:type="pct"/>
            <w:tcBorders>
              <w:top w:val="single" w:color="auto" w:sz="4" w:space="0"/>
              <w:left w:val="nil"/>
              <w:bottom w:val="single" w:color="auto" w:sz="4" w:space="0"/>
              <w:right w:val="single" w:color="auto" w:sz="4" w:space="0"/>
            </w:tcBorders>
            <w:vAlign w:val="center"/>
          </w:tcPr>
          <w:p w14:paraId="3D4E958B">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副主任医师</w:t>
            </w:r>
          </w:p>
        </w:tc>
        <w:tc>
          <w:tcPr>
            <w:tcW w:w="1206" w:type="pct"/>
            <w:tcBorders>
              <w:top w:val="single" w:color="000000" w:sz="2" w:space="0"/>
              <w:left w:val="nil"/>
              <w:bottom w:val="single" w:color="000000" w:sz="2" w:space="0"/>
              <w:right w:val="single" w:color="auto" w:sz="4" w:space="0"/>
            </w:tcBorders>
            <w:vAlign w:val="center"/>
          </w:tcPr>
          <w:p w14:paraId="6DAA5723">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南宁市中医医院</w:t>
            </w:r>
          </w:p>
        </w:tc>
        <w:tc>
          <w:tcPr>
            <w:tcW w:w="2250" w:type="pct"/>
            <w:tcBorders>
              <w:top w:val="single" w:color="auto" w:sz="4" w:space="0"/>
              <w:left w:val="nil"/>
              <w:bottom w:val="single" w:color="auto" w:sz="4" w:space="0"/>
              <w:right w:val="single" w:color="auto" w:sz="4" w:space="0"/>
            </w:tcBorders>
            <w:vAlign w:val="center"/>
          </w:tcPr>
          <w:p w14:paraId="0208F5AD">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460EFB31">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773E85E8">
            <w:pPr>
              <w:ind w:firstLine="0" w:firstLineChars="0"/>
              <w:jc w:val="center"/>
              <w:rPr>
                <w:rFonts w:ascii="仿宋_GB2312"/>
                <w:sz w:val="24"/>
                <w:highlight w:val="none"/>
              </w:rPr>
            </w:pPr>
            <w:r>
              <w:rPr>
                <w:rFonts w:hint="eastAsia" w:ascii="仿宋_GB2312"/>
                <w:color w:val="000000" w:themeColor="text1"/>
                <w:sz w:val="24"/>
                <w:highlight w:val="none"/>
                <w14:textFill>
                  <w14:solidFill>
                    <w14:schemeClr w14:val="tx1"/>
                  </w14:solidFill>
                </w14:textFill>
              </w:rPr>
              <w:t>黄芳</w:t>
            </w:r>
          </w:p>
        </w:tc>
        <w:tc>
          <w:tcPr>
            <w:tcW w:w="987" w:type="pct"/>
            <w:tcBorders>
              <w:top w:val="single" w:color="auto" w:sz="4" w:space="0"/>
              <w:left w:val="nil"/>
              <w:bottom w:val="single" w:color="auto" w:sz="4" w:space="0"/>
              <w:right w:val="single" w:color="auto" w:sz="4" w:space="0"/>
            </w:tcBorders>
            <w:vAlign w:val="center"/>
          </w:tcPr>
          <w:p w14:paraId="460B26BB">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副主任医师</w:t>
            </w:r>
          </w:p>
        </w:tc>
        <w:tc>
          <w:tcPr>
            <w:tcW w:w="1206" w:type="pct"/>
            <w:tcBorders>
              <w:top w:val="single" w:color="000000" w:sz="2" w:space="0"/>
              <w:left w:val="nil"/>
              <w:bottom w:val="single" w:color="000000" w:sz="2" w:space="0"/>
              <w:right w:val="single" w:color="auto" w:sz="4" w:space="0"/>
            </w:tcBorders>
            <w:vAlign w:val="center"/>
          </w:tcPr>
          <w:p w14:paraId="463F3805">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南宁市中医医院</w:t>
            </w:r>
          </w:p>
        </w:tc>
        <w:tc>
          <w:tcPr>
            <w:tcW w:w="2250" w:type="pct"/>
            <w:tcBorders>
              <w:top w:val="single" w:color="auto" w:sz="4" w:space="0"/>
              <w:left w:val="nil"/>
              <w:bottom w:val="single" w:color="auto" w:sz="4" w:space="0"/>
              <w:right w:val="single" w:color="auto" w:sz="4" w:space="0"/>
            </w:tcBorders>
            <w:vAlign w:val="center"/>
          </w:tcPr>
          <w:p w14:paraId="69B0AA61">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74AF5148">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014BA165">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谢晓艳</w:t>
            </w:r>
          </w:p>
        </w:tc>
        <w:tc>
          <w:tcPr>
            <w:tcW w:w="987" w:type="pct"/>
            <w:tcBorders>
              <w:top w:val="single" w:color="auto" w:sz="4" w:space="0"/>
              <w:left w:val="nil"/>
              <w:bottom w:val="single" w:color="auto" w:sz="4" w:space="0"/>
              <w:right w:val="single" w:color="auto" w:sz="4" w:space="0"/>
            </w:tcBorders>
            <w:vAlign w:val="center"/>
          </w:tcPr>
          <w:p w14:paraId="6E1B0AE1">
            <w:pPr>
              <w:ind w:firstLine="0" w:firstLineChars="0"/>
              <w:jc w:val="center"/>
              <w:rPr>
                <w:rFonts w:ascii="仿宋_GB2312" w:hAnsi="仿宋" w:cs="宋体"/>
                <w:sz w:val="24"/>
                <w:highlight w:val="none"/>
              </w:rPr>
            </w:pPr>
            <w:r>
              <w:rPr>
                <w:rFonts w:hint="eastAsia" w:ascii="仿宋_GB2312"/>
                <w:sz w:val="24"/>
                <w:highlight w:val="none"/>
              </w:rPr>
              <w:t>主治医师</w:t>
            </w:r>
          </w:p>
        </w:tc>
        <w:tc>
          <w:tcPr>
            <w:tcW w:w="1206" w:type="pct"/>
            <w:tcBorders>
              <w:top w:val="single" w:color="000000" w:sz="2" w:space="0"/>
              <w:left w:val="nil"/>
              <w:bottom w:val="single" w:color="000000" w:sz="2" w:space="0"/>
              <w:right w:val="single" w:color="auto" w:sz="4" w:space="0"/>
            </w:tcBorders>
            <w:vAlign w:val="center"/>
          </w:tcPr>
          <w:p w14:paraId="7DC4473C">
            <w:pPr>
              <w:ind w:firstLine="0" w:firstLineChars="0"/>
              <w:jc w:val="center"/>
              <w:rPr>
                <w:rFonts w:ascii="仿宋_GB2312" w:hAnsi="仿宋" w:cs="宋体"/>
                <w:sz w:val="24"/>
                <w:highlight w:val="none"/>
              </w:rPr>
            </w:pPr>
            <w:r>
              <w:rPr>
                <w:rFonts w:hint="eastAsia" w:ascii="仿宋_GB2312"/>
                <w:sz w:val="24"/>
                <w:highlight w:val="none"/>
              </w:rPr>
              <w:t>南宁市中医医院</w:t>
            </w:r>
          </w:p>
        </w:tc>
        <w:tc>
          <w:tcPr>
            <w:tcW w:w="2250" w:type="pct"/>
            <w:tcBorders>
              <w:top w:val="single" w:color="auto" w:sz="4" w:space="0"/>
              <w:left w:val="nil"/>
              <w:bottom w:val="single" w:color="auto" w:sz="4" w:space="0"/>
              <w:right w:val="single" w:color="auto" w:sz="4" w:space="0"/>
            </w:tcBorders>
            <w:vAlign w:val="center"/>
          </w:tcPr>
          <w:p w14:paraId="5758CC47">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2BA8969B">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5A4BE9EB">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唐略钧</w:t>
            </w:r>
          </w:p>
        </w:tc>
        <w:tc>
          <w:tcPr>
            <w:tcW w:w="987" w:type="pct"/>
            <w:tcBorders>
              <w:top w:val="single" w:color="auto" w:sz="4" w:space="0"/>
              <w:left w:val="nil"/>
              <w:bottom w:val="single" w:color="auto" w:sz="4" w:space="0"/>
              <w:right w:val="single" w:color="auto" w:sz="4" w:space="0"/>
            </w:tcBorders>
            <w:vAlign w:val="center"/>
          </w:tcPr>
          <w:p w14:paraId="43528734">
            <w:pPr>
              <w:ind w:firstLine="0" w:firstLineChars="0"/>
              <w:jc w:val="center"/>
              <w:rPr>
                <w:rFonts w:ascii="仿宋_GB2312" w:hAnsi="仿宋" w:cs="宋体"/>
                <w:sz w:val="24"/>
                <w:highlight w:val="none"/>
              </w:rPr>
            </w:pPr>
            <w:r>
              <w:rPr>
                <w:rFonts w:hint="eastAsia" w:ascii="仿宋_GB2312"/>
                <w:sz w:val="24"/>
                <w:highlight w:val="none"/>
              </w:rPr>
              <w:t>主治医师</w:t>
            </w:r>
          </w:p>
        </w:tc>
        <w:tc>
          <w:tcPr>
            <w:tcW w:w="1206" w:type="pct"/>
            <w:tcBorders>
              <w:top w:val="single" w:color="000000" w:sz="2" w:space="0"/>
              <w:left w:val="nil"/>
              <w:bottom w:val="single" w:color="000000" w:sz="2" w:space="0"/>
              <w:right w:val="single" w:color="auto" w:sz="4" w:space="0"/>
            </w:tcBorders>
            <w:vAlign w:val="center"/>
          </w:tcPr>
          <w:p w14:paraId="5154CFC7">
            <w:pPr>
              <w:ind w:firstLine="0" w:firstLineChars="0"/>
              <w:jc w:val="center"/>
              <w:rPr>
                <w:rFonts w:ascii="仿宋_GB2312" w:hAnsi="仿宋" w:cs="宋体"/>
                <w:sz w:val="24"/>
                <w:highlight w:val="none"/>
              </w:rPr>
            </w:pPr>
            <w:r>
              <w:rPr>
                <w:rFonts w:hint="eastAsia" w:ascii="仿宋_GB2312"/>
                <w:sz w:val="24"/>
                <w:highlight w:val="none"/>
              </w:rPr>
              <w:t>南宁市中医医院</w:t>
            </w:r>
          </w:p>
        </w:tc>
        <w:tc>
          <w:tcPr>
            <w:tcW w:w="2250" w:type="pct"/>
            <w:tcBorders>
              <w:top w:val="single" w:color="auto" w:sz="4" w:space="0"/>
              <w:left w:val="nil"/>
              <w:bottom w:val="single" w:color="auto" w:sz="4" w:space="0"/>
              <w:right w:val="single" w:color="auto" w:sz="4" w:space="0"/>
            </w:tcBorders>
            <w:vAlign w:val="center"/>
          </w:tcPr>
          <w:p w14:paraId="243FE258">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30CFCF08">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670336F5">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黄小玲</w:t>
            </w:r>
          </w:p>
        </w:tc>
        <w:tc>
          <w:tcPr>
            <w:tcW w:w="987" w:type="pct"/>
            <w:tcBorders>
              <w:top w:val="single" w:color="auto" w:sz="4" w:space="0"/>
              <w:left w:val="nil"/>
              <w:bottom w:val="single" w:color="auto" w:sz="4" w:space="0"/>
              <w:right w:val="single" w:color="auto" w:sz="4" w:space="0"/>
            </w:tcBorders>
            <w:vAlign w:val="center"/>
          </w:tcPr>
          <w:p w14:paraId="7A3DBFB9">
            <w:pPr>
              <w:ind w:firstLine="0" w:firstLineChars="0"/>
              <w:jc w:val="center"/>
              <w:rPr>
                <w:rFonts w:ascii="仿宋_GB2312" w:hAnsi="仿宋" w:cs="宋体"/>
                <w:sz w:val="24"/>
                <w:highlight w:val="none"/>
              </w:rPr>
            </w:pPr>
            <w:r>
              <w:rPr>
                <w:rFonts w:hint="eastAsia" w:ascii="仿宋_GB2312"/>
                <w:sz w:val="24"/>
                <w:highlight w:val="none"/>
              </w:rPr>
              <w:t>主治医师</w:t>
            </w:r>
          </w:p>
        </w:tc>
        <w:tc>
          <w:tcPr>
            <w:tcW w:w="1206" w:type="pct"/>
            <w:tcBorders>
              <w:top w:val="single" w:color="000000" w:sz="2" w:space="0"/>
              <w:left w:val="nil"/>
              <w:bottom w:val="single" w:color="000000" w:sz="2" w:space="0"/>
              <w:right w:val="single" w:color="auto" w:sz="4" w:space="0"/>
            </w:tcBorders>
            <w:vAlign w:val="center"/>
          </w:tcPr>
          <w:p w14:paraId="4D0E8F56">
            <w:pPr>
              <w:ind w:firstLine="0" w:firstLineChars="0"/>
              <w:jc w:val="center"/>
              <w:rPr>
                <w:highlight w:val="none"/>
              </w:rPr>
            </w:pPr>
            <w:r>
              <w:rPr>
                <w:rFonts w:hint="eastAsia" w:ascii="仿宋_GB2312"/>
                <w:sz w:val="24"/>
                <w:highlight w:val="none"/>
              </w:rPr>
              <w:t>南宁市中医医院</w:t>
            </w:r>
          </w:p>
        </w:tc>
        <w:tc>
          <w:tcPr>
            <w:tcW w:w="2250" w:type="pct"/>
            <w:tcBorders>
              <w:top w:val="single" w:color="auto" w:sz="4" w:space="0"/>
              <w:left w:val="nil"/>
              <w:bottom w:val="single" w:color="auto" w:sz="4" w:space="0"/>
              <w:right w:val="single" w:color="auto" w:sz="4" w:space="0"/>
            </w:tcBorders>
            <w:vAlign w:val="center"/>
          </w:tcPr>
          <w:p w14:paraId="2F2FE617">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67B90787">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6F6122F6">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黎同顺</w:t>
            </w:r>
          </w:p>
        </w:tc>
        <w:tc>
          <w:tcPr>
            <w:tcW w:w="987" w:type="pct"/>
            <w:tcBorders>
              <w:top w:val="single" w:color="auto" w:sz="4" w:space="0"/>
              <w:left w:val="nil"/>
              <w:bottom w:val="single" w:color="auto" w:sz="4" w:space="0"/>
              <w:right w:val="single" w:color="auto" w:sz="4" w:space="0"/>
            </w:tcBorders>
            <w:vAlign w:val="center"/>
          </w:tcPr>
          <w:p w14:paraId="5794CAFF">
            <w:pPr>
              <w:ind w:firstLine="0" w:firstLineChars="0"/>
              <w:jc w:val="center"/>
              <w:rPr>
                <w:rFonts w:ascii="仿宋_GB2312" w:hAnsi="仿宋" w:cs="宋体"/>
                <w:sz w:val="24"/>
                <w:highlight w:val="none"/>
              </w:rPr>
            </w:pPr>
            <w:r>
              <w:rPr>
                <w:rFonts w:hint="eastAsia" w:ascii="仿宋_GB2312"/>
                <w:sz w:val="24"/>
                <w:highlight w:val="none"/>
              </w:rPr>
              <w:t>住院医师</w:t>
            </w:r>
          </w:p>
        </w:tc>
        <w:tc>
          <w:tcPr>
            <w:tcW w:w="1206" w:type="pct"/>
            <w:tcBorders>
              <w:top w:val="single" w:color="000000" w:sz="2" w:space="0"/>
              <w:left w:val="nil"/>
              <w:bottom w:val="single" w:color="000000" w:sz="2" w:space="0"/>
              <w:right w:val="single" w:color="auto" w:sz="4" w:space="0"/>
            </w:tcBorders>
            <w:vAlign w:val="center"/>
          </w:tcPr>
          <w:p w14:paraId="49A87B31">
            <w:pPr>
              <w:ind w:firstLine="0" w:firstLineChars="0"/>
              <w:jc w:val="center"/>
              <w:rPr>
                <w:highlight w:val="none"/>
              </w:rPr>
            </w:pPr>
            <w:r>
              <w:rPr>
                <w:rFonts w:hint="eastAsia" w:ascii="仿宋_GB2312"/>
                <w:sz w:val="24"/>
                <w:highlight w:val="none"/>
              </w:rPr>
              <w:t>南宁市中医医院</w:t>
            </w:r>
          </w:p>
        </w:tc>
        <w:tc>
          <w:tcPr>
            <w:tcW w:w="2250" w:type="pct"/>
            <w:tcBorders>
              <w:top w:val="single" w:color="auto" w:sz="4" w:space="0"/>
              <w:left w:val="nil"/>
              <w:bottom w:val="single" w:color="auto" w:sz="4" w:space="0"/>
              <w:right w:val="single" w:color="auto" w:sz="4" w:space="0"/>
            </w:tcBorders>
            <w:vAlign w:val="center"/>
          </w:tcPr>
          <w:p w14:paraId="030D08B0">
            <w:pPr>
              <w:ind w:firstLine="0" w:firstLineChars="0"/>
              <w:rPr>
                <w:rFonts w:ascii="仿宋_GB2312"/>
                <w:sz w:val="24"/>
                <w:highlight w:val="none"/>
              </w:rPr>
            </w:pPr>
            <w:r>
              <w:rPr>
                <w:rFonts w:hint="eastAsia" w:ascii="仿宋_GB2312"/>
                <w:sz w:val="24"/>
                <w:highlight w:val="none"/>
              </w:rPr>
              <w:t>参与标准文本及编制说明的编写；组织开展标准征求意见会</w:t>
            </w:r>
          </w:p>
        </w:tc>
      </w:tr>
      <w:tr w14:paraId="0F4E4FB9">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1756997D">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廖煜雄</w:t>
            </w:r>
          </w:p>
        </w:tc>
        <w:tc>
          <w:tcPr>
            <w:tcW w:w="987" w:type="pct"/>
            <w:tcBorders>
              <w:top w:val="single" w:color="auto" w:sz="4" w:space="0"/>
              <w:left w:val="nil"/>
              <w:bottom w:val="single" w:color="auto" w:sz="4" w:space="0"/>
              <w:right w:val="single" w:color="auto" w:sz="4" w:space="0"/>
            </w:tcBorders>
            <w:vAlign w:val="center"/>
          </w:tcPr>
          <w:p w14:paraId="2BDD1770">
            <w:pPr>
              <w:ind w:firstLine="0" w:firstLineChars="0"/>
              <w:jc w:val="center"/>
              <w:rPr>
                <w:rFonts w:ascii="仿宋_GB2312" w:hAnsi="仿宋" w:cs="宋体"/>
                <w:sz w:val="24"/>
                <w:highlight w:val="none"/>
              </w:rPr>
            </w:pPr>
            <w:r>
              <w:rPr>
                <w:rFonts w:hint="eastAsia" w:ascii="仿宋_GB2312"/>
                <w:sz w:val="24"/>
                <w:highlight w:val="none"/>
              </w:rPr>
              <w:t>住院医师</w:t>
            </w:r>
          </w:p>
        </w:tc>
        <w:tc>
          <w:tcPr>
            <w:tcW w:w="1206" w:type="pct"/>
            <w:tcBorders>
              <w:top w:val="single" w:color="000000" w:sz="2" w:space="0"/>
              <w:left w:val="nil"/>
              <w:bottom w:val="single" w:color="000000" w:sz="2" w:space="0"/>
              <w:right w:val="single" w:color="auto" w:sz="4" w:space="0"/>
            </w:tcBorders>
            <w:vAlign w:val="center"/>
          </w:tcPr>
          <w:p w14:paraId="569090EA">
            <w:pPr>
              <w:ind w:firstLine="0" w:firstLineChars="0"/>
              <w:jc w:val="center"/>
              <w:rPr>
                <w:highlight w:val="none"/>
              </w:rPr>
            </w:pPr>
            <w:r>
              <w:rPr>
                <w:rFonts w:hint="eastAsia" w:ascii="仿宋_GB2312"/>
                <w:sz w:val="24"/>
                <w:highlight w:val="none"/>
              </w:rPr>
              <w:t>南宁市中医医院</w:t>
            </w:r>
          </w:p>
        </w:tc>
        <w:tc>
          <w:tcPr>
            <w:tcW w:w="2250" w:type="pct"/>
            <w:tcBorders>
              <w:top w:val="single" w:color="auto" w:sz="4" w:space="0"/>
              <w:left w:val="nil"/>
              <w:bottom w:val="single" w:color="auto" w:sz="4" w:space="0"/>
              <w:right w:val="single" w:color="auto" w:sz="4" w:space="0"/>
            </w:tcBorders>
            <w:vAlign w:val="center"/>
          </w:tcPr>
          <w:p w14:paraId="39763B5C">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7775A943">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4C5C0CB2">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韦晓芸</w:t>
            </w:r>
          </w:p>
        </w:tc>
        <w:tc>
          <w:tcPr>
            <w:tcW w:w="987" w:type="pct"/>
            <w:tcBorders>
              <w:top w:val="single" w:color="auto" w:sz="4" w:space="0"/>
              <w:left w:val="nil"/>
              <w:bottom w:val="single" w:color="auto" w:sz="4" w:space="0"/>
              <w:right w:val="single" w:color="auto" w:sz="4" w:space="0"/>
            </w:tcBorders>
            <w:vAlign w:val="center"/>
          </w:tcPr>
          <w:p w14:paraId="7C250C7D">
            <w:pPr>
              <w:ind w:firstLine="0" w:firstLineChars="0"/>
              <w:jc w:val="center"/>
              <w:rPr>
                <w:rFonts w:ascii="仿宋_GB2312" w:hAnsi="仿宋" w:cs="宋体"/>
                <w:sz w:val="24"/>
                <w:highlight w:val="none"/>
              </w:rPr>
            </w:pPr>
            <w:r>
              <w:rPr>
                <w:rFonts w:hint="eastAsia" w:ascii="仿宋_GB2312"/>
                <w:sz w:val="24"/>
                <w:highlight w:val="none"/>
              </w:rPr>
              <w:t>住院医师</w:t>
            </w:r>
          </w:p>
        </w:tc>
        <w:tc>
          <w:tcPr>
            <w:tcW w:w="1206" w:type="pct"/>
            <w:tcBorders>
              <w:top w:val="single" w:color="000000" w:sz="2" w:space="0"/>
              <w:left w:val="nil"/>
              <w:bottom w:val="single" w:color="000000" w:sz="2" w:space="0"/>
              <w:right w:val="single" w:color="auto" w:sz="4" w:space="0"/>
            </w:tcBorders>
            <w:vAlign w:val="center"/>
          </w:tcPr>
          <w:p w14:paraId="2967C5DB">
            <w:pPr>
              <w:ind w:firstLine="0" w:firstLineChars="0"/>
              <w:jc w:val="center"/>
              <w:rPr>
                <w:highlight w:val="none"/>
              </w:rPr>
            </w:pPr>
            <w:r>
              <w:rPr>
                <w:rFonts w:hint="eastAsia" w:ascii="仿宋_GB2312"/>
                <w:sz w:val="24"/>
                <w:highlight w:val="none"/>
              </w:rPr>
              <w:t>南宁市中医医院</w:t>
            </w:r>
          </w:p>
        </w:tc>
        <w:tc>
          <w:tcPr>
            <w:tcW w:w="2250" w:type="pct"/>
            <w:tcBorders>
              <w:top w:val="single" w:color="auto" w:sz="4" w:space="0"/>
              <w:left w:val="nil"/>
              <w:bottom w:val="single" w:color="auto" w:sz="4" w:space="0"/>
              <w:right w:val="single" w:color="auto" w:sz="4" w:space="0"/>
            </w:tcBorders>
            <w:vAlign w:val="center"/>
          </w:tcPr>
          <w:p w14:paraId="7CAA11F0">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4A43AFF7">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3164645A">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李配庆</w:t>
            </w:r>
          </w:p>
        </w:tc>
        <w:tc>
          <w:tcPr>
            <w:tcW w:w="987" w:type="pct"/>
            <w:tcBorders>
              <w:top w:val="single" w:color="auto" w:sz="4" w:space="0"/>
              <w:left w:val="nil"/>
              <w:bottom w:val="single" w:color="auto" w:sz="4" w:space="0"/>
              <w:right w:val="single" w:color="auto" w:sz="4" w:space="0"/>
            </w:tcBorders>
            <w:vAlign w:val="center"/>
          </w:tcPr>
          <w:p w14:paraId="3F60B2DC">
            <w:pPr>
              <w:ind w:firstLine="0" w:firstLineChars="0"/>
              <w:jc w:val="center"/>
              <w:rPr>
                <w:rFonts w:ascii="仿宋_GB2312" w:hAnsi="仿宋" w:cs="宋体"/>
                <w:sz w:val="24"/>
                <w:highlight w:val="none"/>
              </w:rPr>
            </w:pPr>
            <w:r>
              <w:rPr>
                <w:rFonts w:hint="eastAsia" w:ascii="仿宋_GB2312"/>
                <w:sz w:val="24"/>
                <w:highlight w:val="none"/>
              </w:rPr>
              <w:t>住院医师</w:t>
            </w:r>
          </w:p>
        </w:tc>
        <w:tc>
          <w:tcPr>
            <w:tcW w:w="1206" w:type="pct"/>
            <w:tcBorders>
              <w:top w:val="single" w:color="000000" w:sz="2" w:space="0"/>
              <w:left w:val="nil"/>
              <w:bottom w:val="single" w:color="000000" w:sz="2" w:space="0"/>
              <w:right w:val="single" w:color="auto" w:sz="4" w:space="0"/>
            </w:tcBorders>
            <w:vAlign w:val="center"/>
          </w:tcPr>
          <w:p w14:paraId="0B13F94C">
            <w:pPr>
              <w:ind w:firstLine="0" w:firstLineChars="0"/>
              <w:jc w:val="center"/>
              <w:rPr>
                <w:rFonts w:ascii="仿宋_GB2312" w:hAnsi="仿宋" w:cs="宋体"/>
                <w:sz w:val="24"/>
                <w:highlight w:val="none"/>
              </w:rPr>
            </w:pPr>
            <w:r>
              <w:rPr>
                <w:rFonts w:hint="eastAsia" w:ascii="仿宋_GB2312"/>
                <w:sz w:val="24"/>
                <w:highlight w:val="none"/>
              </w:rPr>
              <w:t>南宁市中医医院</w:t>
            </w:r>
          </w:p>
        </w:tc>
        <w:tc>
          <w:tcPr>
            <w:tcW w:w="2250" w:type="pct"/>
            <w:tcBorders>
              <w:top w:val="single" w:color="auto" w:sz="4" w:space="0"/>
              <w:left w:val="nil"/>
              <w:bottom w:val="single" w:color="auto" w:sz="4" w:space="0"/>
              <w:right w:val="single" w:color="auto" w:sz="4" w:space="0"/>
            </w:tcBorders>
            <w:vAlign w:val="center"/>
          </w:tcPr>
          <w:p w14:paraId="609DA937">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641D1556">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7F689ADF">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王雪</w:t>
            </w:r>
          </w:p>
        </w:tc>
        <w:tc>
          <w:tcPr>
            <w:tcW w:w="987" w:type="pct"/>
            <w:tcBorders>
              <w:top w:val="single" w:color="auto" w:sz="4" w:space="0"/>
              <w:left w:val="nil"/>
              <w:bottom w:val="single" w:color="auto" w:sz="4" w:space="0"/>
              <w:right w:val="single" w:color="auto" w:sz="4" w:space="0"/>
            </w:tcBorders>
            <w:vAlign w:val="center"/>
          </w:tcPr>
          <w:p w14:paraId="5F59D772">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主管护师</w:t>
            </w:r>
          </w:p>
        </w:tc>
        <w:tc>
          <w:tcPr>
            <w:tcW w:w="1206" w:type="pct"/>
            <w:tcBorders>
              <w:top w:val="single" w:color="000000" w:sz="2" w:space="0"/>
              <w:left w:val="nil"/>
              <w:bottom w:val="single" w:color="000000" w:sz="2" w:space="0"/>
              <w:right w:val="single" w:color="auto" w:sz="4" w:space="0"/>
            </w:tcBorders>
            <w:vAlign w:val="center"/>
          </w:tcPr>
          <w:p w14:paraId="50113078">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南宁市中医医院</w:t>
            </w:r>
          </w:p>
        </w:tc>
        <w:tc>
          <w:tcPr>
            <w:tcW w:w="2250" w:type="pct"/>
            <w:tcBorders>
              <w:top w:val="single" w:color="auto" w:sz="4" w:space="0"/>
              <w:left w:val="nil"/>
              <w:bottom w:val="single" w:color="auto" w:sz="4" w:space="0"/>
              <w:right w:val="single" w:color="auto" w:sz="4" w:space="0"/>
            </w:tcBorders>
            <w:vAlign w:val="center"/>
          </w:tcPr>
          <w:p w14:paraId="596724A6">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577D0906">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3A44A92A">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唐纯</w:t>
            </w:r>
          </w:p>
        </w:tc>
        <w:tc>
          <w:tcPr>
            <w:tcW w:w="987" w:type="pct"/>
            <w:tcBorders>
              <w:top w:val="single" w:color="auto" w:sz="4" w:space="0"/>
              <w:left w:val="nil"/>
              <w:bottom w:val="single" w:color="auto" w:sz="4" w:space="0"/>
              <w:right w:val="single" w:color="auto" w:sz="4" w:space="0"/>
            </w:tcBorders>
            <w:vAlign w:val="center"/>
          </w:tcPr>
          <w:p w14:paraId="3B07C288">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主管护师</w:t>
            </w:r>
          </w:p>
        </w:tc>
        <w:tc>
          <w:tcPr>
            <w:tcW w:w="1206" w:type="pct"/>
            <w:tcBorders>
              <w:top w:val="single" w:color="000000" w:sz="2" w:space="0"/>
              <w:left w:val="nil"/>
              <w:bottom w:val="single" w:color="000000" w:sz="2" w:space="0"/>
              <w:right w:val="single" w:color="auto" w:sz="4" w:space="0"/>
            </w:tcBorders>
            <w:vAlign w:val="center"/>
          </w:tcPr>
          <w:p w14:paraId="125AEB4E">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南宁市中医医院</w:t>
            </w:r>
          </w:p>
        </w:tc>
        <w:tc>
          <w:tcPr>
            <w:tcW w:w="2250" w:type="pct"/>
            <w:tcBorders>
              <w:top w:val="single" w:color="auto" w:sz="4" w:space="0"/>
              <w:left w:val="nil"/>
              <w:bottom w:val="single" w:color="auto" w:sz="4" w:space="0"/>
              <w:right w:val="single" w:color="auto" w:sz="4" w:space="0"/>
            </w:tcBorders>
            <w:vAlign w:val="center"/>
          </w:tcPr>
          <w:p w14:paraId="07E74C5E">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524D5AFA">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56ED0023">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柳芳妹</w:t>
            </w:r>
          </w:p>
        </w:tc>
        <w:tc>
          <w:tcPr>
            <w:tcW w:w="987" w:type="pct"/>
            <w:tcBorders>
              <w:top w:val="single" w:color="auto" w:sz="4" w:space="0"/>
              <w:left w:val="nil"/>
              <w:bottom w:val="single" w:color="auto" w:sz="4" w:space="0"/>
              <w:right w:val="single" w:color="auto" w:sz="4" w:space="0"/>
            </w:tcBorders>
            <w:vAlign w:val="center"/>
          </w:tcPr>
          <w:p w14:paraId="0D47F0BB">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副主任护师</w:t>
            </w:r>
          </w:p>
        </w:tc>
        <w:tc>
          <w:tcPr>
            <w:tcW w:w="1206" w:type="pct"/>
            <w:tcBorders>
              <w:top w:val="single" w:color="000000" w:sz="2" w:space="0"/>
              <w:left w:val="nil"/>
              <w:bottom w:val="single" w:color="000000" w:sz="2" w:space="0"/>
              <w:right w:val="single" w:color="auto" w:sz="4" w:space="0"/>
            </w:tcBorders>
            <w:vAlign w:val="center"/>
          </w:tcPr>
          <w:p w14:paraId="48144517">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南宁市中医医院</w:t>
            </w:r>
          </w:p>
        </w:tc>
        <w:tc>
          <w:tcPr>
            <w:tcW w:w="2250" w:type="pct"/>
            <w:tcBorders>
              <w:top w:val="single" w:color="auto" w:sz="4" w:space="0"/>
              <w:left w:val="nil"/>
              <w:bottom w:val="single" w:color="auto" w:sz="4" w:space="0"/>
              <w:right w:val="single" w:color="auto" w:sz="4" w:space="0"/>
            </w:tcBorders>
            <w:vAlign w:val="center"/>
          </w:tcPr>
          <w:p w14:paraId="68BDD4F9">
            <w:pPr>
              <w:ind w:firstLine="0" w:firstLineChars="0"/>
              <w:rPr>
                <w:rFonts w:ascii="仿宋_GB2312"/>
                <w:sz w:val="24"/>
                <w:highlight w:val="none"/>
              </w:rPr>
            </w:pPr>
            <w:r>
              <w:rPr>
                <w:rFonts w:hint="eastAsia" w:ascii="仿宋_GB2312"/>
                <w:sz w:val="24"/>
                <w:highlight w:val="none"/>
              </w:rPr>
              <w:t>参与标准文本及编制说明的编写；组织开展标准征求意见会</w:t>
            </w:r>
          </w:p>
        </w:tc>
      </w:tr>
      <w:tr w14:paraId="262487B8">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6D200A17">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莫秋芬</w:t>
            </w:r>
          </w:p>
        </w:tc>
        <w:tc>
          <w:tcPr>
            <w:tcW w:w="987" w:type="pct"/>
            <w:tcBorders>
              <w:top w:val="single" w:color="auto" w:sz="4" w:space="0"/>
              <w:left w:val="nil"/>
              <w:bottom w:val="single" w:color="auto" w:sz="4" w:space="0"/>
              <w:right w:val="single" w:color="auto" w:sz="4" w:space="0"/>
            </w:tcBorders>
            <w:vAlign w:val="center"/>
          </w:tcPr>
          <w:p w14:paraId="37A544C3">
            <w:pPr>
              <w:ind w:firstLine="0" w:firstLineChars="0"/>
              <w:jc w:val="center"/>
              <w:rPr>
                <w:rFonts w:hint="eastAsia" w:ascii="仿宋_GB2312" w:hAnsi="仿宋" w:eastAsia="仿宋_GB2312" w:cs="宋体"/>
                <w:sz w:val="24"/>
                <w:highlight w:val="none"/>
                <w:lang w:val="en-US" w:eastAsia="zh-CN"/>
              </w:rPr>
            </w:pPr>
            <w:r>
              <w:rPr>
                <w:rFonts w:hint="eastAsia" w:ascii="仿宋_GB2312" w:hAnsi="仿宋" w:cs="宋体"/>
                <w:sz w:val="24"/>
                <w:highlight w:val="none"/>
                <w:lang w:val="en-US" w:eastAsia="zh-CN"/>
              </w:rPr>
              <w:t>护师</w:t>
            </w:r>
          </w:p>
        </w:tc>
        <w:tc>
          <w:tcPr>
            <w:tcW w:w="1206" w:type="pct"/>
            <w:tcBorders>
              <w:top w:val="single" w:color="000000" w:sz="2" w:space="0"/>
              <w:left w:val="nil"/>
              <w:bottom w:val="single" w:color="000000" w:sz="2" w:space="0"/>
              <w:right w:val="single" w:color="auto" w:sz="4" w:space="0"/>
            </w:tcBorders>
            <w:vAlign w:val="center"/>
          </w:tcPr>
          <w:p w14:paraId="3D6AF917">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南宁市中医医院</w:t>
            </w:r>
          </w:p>
        </w:tc>
        <w:tc>
          <w:tcPr>
            <w:tcW w:w="2250" w:type="pct"/>
            <w:tcBorders>
              <w:top w:val="single" w:color="auto" w:sz="4" w:space="0"/>
              <w:left w:val="nil"/>
              <w:bottom w:val="single" w:color="auto" w:sz="4" w:space="0"/>
              <w:right w:val="single" w:color="auto" w:sz="4" w:space="0"/>
            </w:tcBorders>
            <w:vAlign w:val="center"/>
          </w:tcPr>
          <w:p w14:paraId="6ECC4419">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55E00143">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74146620">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蓝莉菁</w:t>
            </w:r>
          </w:p>
        </w:tc>
        <w:tc>
          <w:tcPr>
            <w:tcW w:w="987" w:type="pct"/>
            <w:tcBorders>
              <w:top w:val="single" w:color="auto" w:sz="4" w:space="0"/>
              <w:left w:val="nil"/>
              <w:bottom w:val="single" w:color="auto" w:sz="4" w:space="0"/>
              <w:right w:val="single" w:color="auto" w:sz="4" w:space="0"/>
            </w:tcBorders>
            <w:vAlign w:val="center"/>
          </w:tcPr>
          <w:p w14:paraId="1ECEB2C4">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主管护师</w:t>
            </w:r>
          </w:p>
        </w:tc>
        <w:tc>
          <w:tcPr>
            <w:tcW w:w="1206" w:type="pct"/>
            <w:tcBorders>
              <w:top w:val="single" w:color="000000" w:sz="2" w:space="0"/>
              <w:left w:val="nil"/>
              <w:bottom w:val="single" w:color="000000" w:sz="2" w:space="0"/>
              <w:right w:val="single" w:color="auto" w:sz="4" w:space="0"/>
            </w:tcBorders>
            <w:vAlign w:val="center"/>
          </w:tcPr>
          <w:p w14:paraId="453C3B75">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南宁市中医医院</w:t>
            </w:r>
          </w:p>
        </w:tc>
        <w:tc>
          <w:tcPr>
            <w:tcW w:w="2250" w:type="pct"/>
            <w:tcBorders>
              <w:top w:val="single" w:color="auto" w:sz="4" w:space="0"/>
              <w:left w:val="nil"/>
              <w:bottom w:val="single" w:color="auto" w:sz="4" w:space="0"/>
              <w:right w:val="single" w:color="auto" w:sz="4" w:space="0"/>
            </w:tcBorders>
            <w:vAlign w:val="center"/>
          </w:tcPr>
          <w:p w14:paraId="7863B2FC">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25E91BD0">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4035A698">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农艳艳</w:t>
            </w:r>
          </w:p>
        </w:tc>
        <w:tc>
          <w:tcPr>
            <w:tcW w:w="987" w:type="pct"/>
            <w:tcBorders>
              <w:top w:val="single" w:color="auto" w:sz="4" w:space="0"/>
              <w:left w:val="nil"/>
              <w:bottom w:val="single" w:color="auto" w:sz="4" w:space="0"/>
              <w:right w:val="single" w:color="auto" w:sz="4" w:space="0"/>
            </w:tcBorders>
            <w:vAlign w:val="center"/>
          </w:tcPr>
          <w:p w14:paraId="69250CC3">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主管护师</w:t>
            </w:r>
          </w:p>
        </w:tc>
        <w:tc>
          <w:tcPr>
            <w:tcW w:w="1206" w:type="pct"/>
            <w:tcBorders>
              <w:top w:val="single" w:color="000000" w:sz="2" w:space="0"/>
              <w:left w:val="nil"/>
              <w:bottom w:val="single" w:color="000000" w:sz="2" w:space="0"/>
              <w:right w:val="single" w:color="auto" w:sz="4" w:space="0"/>
            </w:tcBorders>
            <w:vAlign w:val="center"/>
          </w:tcPr>
          <w:p w14:paraId="41D71C64">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南宁市中医医院</w:t>
            </w:r>
          </w:p>
        </w:tc>
        <w:tc>
          <w:tcPr>
            <w:tcW w:w="2250" w:type="pct"/>
            <w:tcBorders>
              <w:top w:val="single" w:color="auto" w:sz="4" w:space="0"/>
              <w:left w:val="nil"/>
              <w:bottom w:val="single" w:color="auto" w:sz="4" w:space="0"/>
              <w:right w:val="single" w:color="auto" w:sz="4" w:space="0"/>
            </w:tcBorders>
            <w:vAlign w:val="center"/>
          </w:tcPr>
          <w:p w14:paraId="523E9DDA">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23718F48">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060B226F">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韦日丽</w:t>
            </w:r>
          </w:p>
        </w:tc>
        <w:tc>
          <w:tcPr>
            <w:tcW w:w="987" w:type="pct"/>
            <w:tcBorders>
              <w:top w:val="single" w:color="auto" w:sz="4" w:space="0"/>
              <w:left w:val="nil"/>
              <w:bottom w:val="single" w:color="auto" w:sz="4" w:space="0"/>
              <w:right w:val="single" w:color="auto" w:sz="4" w:space="0"/>
            </w:tcBorders>
            <w:vAlign w:val="center"/>
          </w:tcPr>
          <w:p w14:paraId="6E69DDED">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主管技师</w:t>
            </w:r>
          </w:p>
        </w:tc>
        <w:tc>
          <w:tcPr>
            <w:tcW w:w="1206" w:type="pct"/>
            <w:tcBorders>
              <w:top w:val="single" w:color="000000" w:sz="2" w:space="0"/>
              <w:left w:val="nil"/>
              <w:bottom w:val="single" w:color="000000" w:sz="2" w:space="0"/>
              <w:right w:val="single" w:color="auto" w:sz="4" w:space="0"/>
            </w:tcBorders>
            <w:vAlign w:val="center"/>
          </w:tcPr>
          <w:p w14:paraId="7A4649C9">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南宁市中医医院</w:t>
            </w:r>
          </w:p>
        </w:tc>
        <w:tc>
          <w:tcPr>
            <w:tcW w:w="2250" w:type="pct"/>
            <w:tcBorders>
              <w:top w:val="single" w:color="auto" w:sz="4" w:space="0"/>
              <w:left w:val="nil"/>
              <w:bottom w:val="single" w:color="auto" w:sz="4" w:space="0"/>
              <w:right w:val="single" w:color="auto" w:sz="4" w:space="0"/>
            </w:tcBorders>
            <w:vAlign w:val="center"/>
          </w:tcPr>
          <w:p w14:paraId="76C1B718">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5593CAE0">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635AE283">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黄前</w:t>
            </w:r>
          </w:p>
        </w:tc>
        <w:tc>
          <w:tcPr>
            <w:tcW w:w="987" w:type="pct"/>
            <w:tcBorders>
              <w:top w:val="single" w:color="auto" w:sz="4" w:space="0"/>
              <w:left w:val="nil"/>
              <w:bottom w:val="single" w:color="auto" w:sz="4" w:space="0"/>
              <w:right w:val="single" w:color="auto" w:sz="4" w:space="0"/>
            </w:tcBorders>
            <w:vAlign w:val="center"/>
          </w:tcPr>
          <w:p w14:paraId="2D66F32F">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主治医师</w:t>
            </w:r>
          </w:p>
        </w:tc>
        <w:tc>
          <w:tcPr>
            <w:tcW w:w="1206" w:type="pct"/>
            <w:tcBorders>
              <w:top w:val="single" w:color="000000" w:sz="2" w:space="0"/>
              <w:left w:val="nil"/>
              <w:bottom w:val="single" w:color="000000" w:sz="2" w:space="0"/>
              <w:right w:val="single" w:color="auto" w:sz="4" w:space="0"/>
            </w:tcBorders>
            <w:vAlign w:val="center"/>
          </w:tcPr>
          <w:p w14:paraId="37AFE757">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南宁市中医医院</w:t>
            </w:r>
          </w:p>
        </w:tc>
        <w:tc>
          <w:tcPr>
            <w:tcW w:w="2250" w:type="pct"/>
            <w:tcBorders>
              <w:top w:val="single" w:color="auto" w:sz="4" w:space="0"/>
              <w:left w:val="nil"/>
              <w:bottom w:val="single" w:color="auto" w:sz="4" w:space="0"/>
              <w:right w:val="single" w:color="auto" w:sz="4" w:space="0"/>
            </w:tcBorders>
            <w:vAlign w:val="center"/>
          </w:tcPr>
          <w:p w14:paraId="399ABC51">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7A3A2A9E">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2BEDC634">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王树青</w:t>
            </w:r>
          </w:p>
        </w:tc>
        <w:tc>
          <w:tcPr>
            <w:tcW w:w="987" w:type="pct"/>
            <w:tcBorders>
              <w:top w:val="single" w:color="auto" w:sz="4" w:space="0"/>
              <w:left w:val="nil"/>
              <w:bottom w:val="single" w:color="auto" w:sz="4" w:space="0"/>
              <w:right w:val="single" w:color="auto" w:sz="4" w:space="0"/>
            </w:tcBorders>
            <w:vAlign w:val="center"/>
          </w:tcPr>
          <w:p w14:paraId="4C68C150">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主任医师</w:t>
            </w:r>
          </w:p>
        </w:tc>
        <w:tc>
          <w:tcPr>
            <w:tcW w:w="1206" w:type="pct"/>
            <w:tcBorders>
              <w:top w:val="single" w:color="000000" w:sz="2" w:space="0"/>
              <w:left w:val="nil"/>
              <w:bottom w:val="single" w:color="000000" w:sz="2" w:space="0"/>
              <w:right w:val="single" w:color="auto" w:sz="4" w:space="0"/>
            </w:tcBorders>
            <w:vAlign w:val="center"/>
          </w:tcPr>
          <w:p w14:paraId="335295E0">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桂林市中医医院</w:t>
            </w:r>
          </w:p>
        </w:tc>
        <w:tc>
          <w:tcPr>
            <w:tcW w:w="2250" w:type="pct"/>
            <w:tcBorders>
              <w:top w:val="single" w:color="auto" w:sz="4" w:space="0"/>
              <w:left w:val="nil"/>
              <w:bottom w:val="single" w:color="auto" w:sz="4" w:space="0"/>
              <w:right w:val="single" w:color="auto" w:sz="4" w:space="0"/>
            </w:tcBorders>
            <w:vAlign w:val="center"/>
          </w:tcPr>
          <w:p w14:paraId="4C7960B3">
            <w:pPr>
              <w:ind w:firstLine="0" w:firstLineChars="0"/>
              <w:rPr>
                <w:rFonts w:ascii="仿宋_GB2312"/>
                <w:sz w:val="24"/>
                <w:highlight w:val="none"/>
              </w:rPr>
            </w:pPr>
            <w:r>
              <w:rPr>
                <w:rFonts w:hint="eastAsia" w:ascii="仿宋_GB2312"/>
                <w:sz w:val="24"/>
                <w:highlight w:val="none"/>
              </w:rPr>
              <w:t>参与标准文本及编制说明的编写；组织开展标准征求意见会</w:t>
            </w:r>
          </w:p>
        </w:tc>
      </w:tr>
      <w:tr w14:paraId="14071886">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6525C815">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唐文成</w:t>
            </w:r>
          </w:p>
        </w:tc>
        <w:tc>
          <w:tcPr>
            <w:tcW w:w="987" w:type="pct"/>
            <w:tcBorders>
              <w:top w:val="single" w:color="auto" w:sz="4" w:space="0"/>
              <w:left w:val="nil"/>
              <w:bottom w:val="single" w:color="auto" w:sz="4" w:space="0"/>
              <w:right w:val="single" w:color="auto" w:sz="4" w:space="0"/>
            </w:tcBorders>
            <w:vAlign w:val="center"/>
          </w:tcPr>
          <w:p w14:paraId="675247FF">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副主任医师</w:t>
            </w:r>
          </w:p>
        </w:tc>
        <w:tc>
          <w:tcPr>
            <w:tcW w:w="1206" w:type="pct"/>
            <w:tcBorders>
              <w:top w:val="single" w:color="000000" w:sz="2" w:space="0"/>
              <w:left w:val="nil"/>
              <w:bottom w:val="single" w:color="000000" w:sz="2" w:space="0"/>
              <w:right w:val="single" w:color="auto" w:sz="4" w:space="0"/>
            </w:tcBorders>
            <w:vAlign w:val="center"/>
          </w:tcPr>
          <w:p w14:paraId="0E93677B">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桂林市中医医院</w:t>
            </w:r>
          </w:p>
        </w:tc>
        <w:tc>
          <w:tcPr>
            <w:tcW w:w="2250" w:type="pct"/>
            <w:tcBorders>
              <w:top w:val="single" w:color="auto" w:sz="4" w:space="0"/>
              <w:left w:val="nil"/>
              <w:bottom w:val="single" w:color="auto" w:sz="4" w:space="0"/>
              <w:right w:val="single" w:color="auto" w:sz="4" w:space="0"/>
            </w:tcBorders>
            <w:vAlign w:val="center"/>
          </w:tcPr>
          <w:p w14:paraId="45E87ABE">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5DCC4AD9">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74A1D6C9">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李俐筠</w:t>
            </w:r>
          </w:p>
        </w:tc>
        <w:tc>
          <w:tcPr>
            <w:tcW w:w="987" w:type="pct"/>
            <w:tcBorders>
              <w:top w:val="single" w:color="auto" w:sz="4" w:space="0"/>
              <w:left w:val="nil"/>
              <w:bottom w:val="single" w:color="auto" w:sz="4" w:space="0"/>
              <w:right w:val="single" w:color="auto" w:sz="4" w:space="0"/>
            </w:tcBorders>
            <w:vAlign w:val="center"/>
          </w:tcPr>
          <w:p w14:paraId="6370A525">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副主任护师</w:t>
            </w:r>
          </w:p>
        </w:tc>
        <w:tc>
          <w:tcPr>
            <w:tcW w:w="1206" w:type="pct"/>
            <w:tcBorders>
              <w:top w:val="single" w:color="000000" w:sz="2" w:space="0"/>
              <w:left w:val="nil"/>
              <w:bottom w:val="single" w:color="000000" w:sz="2" w:space="0"/>
              <w:right w:val="single" w:color="auto" w:sz="4" w:space="0"/>
            </w:tcBorders>
            <w:vAlign w:val="center"/>
          </w:tcPr>
          <w:p w14:paraId="206E3AFC">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桂林市中医医院</w:t>
            </w:r>
          </w:p>
        </w:tc>
        <w:tc>
          <w:tcPr>
            <w:tcW w:w="2250" w:type="pct"/>
            <w:tcBorders>
              <w:top w:val="single" w:color="auto" w:sz="4" w:space="0"/>
              <w:left w:val="nil"/>
              <w:bottom w:val="single" w:color="auto" w:sz="4" w:space="0"/>
              <w:right w:val="single" w:color="auto" w:sz="4" w:space="0"/>
            </w:tcBorders>
            <w:vAlign w:val="center"/>
          </w:tcPr>
          <w:p w14:paraId="36D12CBE">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7D93B2D4">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5364A4ED">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李煦昀</w:t>
            </w:r>
          </w:p>
        </w:tc>
        <w:tc>
          <w:tcPr>
            <w:tcW w:w="987" w:type="pct"/>
            <w:tcBorders>
              <w:top w:val="single" w:color="auto" w:sz="4" w:space="0"/>
              <w:left w:val="nil"/>
              <w:bottom w:val="single" w:color="auto" w:sz="4" w:space="0"/>
              <w:right w:val="single" w:color="auto" w:sz="4" w:space="0"/>
            </w:tcBorders>
            <w:vAlign w:val="center"/>
          </w:tcPr>
          <w:p w14:paraId="7B4B695F">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副主任医师</w:t>
            </w:r>
          </w:p>
        </w:tc>
        <w:tc>
          <w:tcPr>
            <w:tcW w:w="1206" w:type="pct"/>
            <w:tcBorders>
              <w:top w:val="single" w:color="000000" w:sz="2" w:space="0"/>
              <w:left w:val="nil"/>
              <w:bottom w:val="single" w:color="000000" w:sz="2" w:space="0"/>
              <w:right w:val="single" w:color="auto" w:sz="4" w:space="0"/>
            </w:tcBorders>
            <w:vAlign w:val="center"/>
          </w:tcPr>
          <w:p w14:paraId="407239ED">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桂林市中医医院</w:t>
            </w:r>
          </w:p>
        </w:tc>
        <w:tc>
          <w:tcPr>
            <w:tcW w:w="2250" w:type="pct"/>
            <w:tcBorders>
              <w:top w:val="single" w:color="auto" w:sz="4" w:space="0"/>
              <w:left w:val="nil"/>
              <w:bottom w:val="single" w:color="auto" w:sz="4" w:space="0"/>
              <w:right w:val="single" w:color="auto" w:sz="4" w:space="0"/>
            </w:tcBorders>
            <w:vAlign w:val="center"/>
          </w:tcPr>
          <w:p w14:paraId="24201E28">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13889AD9">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072410ED">
            <w:pPr>
              <w:ind w:firstLine="0" w:firstLineChars="0"/>
              <w:jc w:val="center"/>
              <w:rPr>
                <w:rFonts w:ascii="仿宋_GB2312"/>
                <w:color w:val="000000" w:themeColor="text1"/>
                <w:sz w:val="24"/>
                <w:highlight w:val="none"/>
                <w14:textFill>
                  <w14:solidFill>
                    <w14:schemeClr w14:val="tx1"/>
                  </w14:solidFill>
                </w14:textFill>
              </w:rPr>
            </w:pPr>
            <w:r>
              <w:rPr>
                <w:rFonts w:hint="eastAsia" w:ascii="仿宋_GB2312"/>
                <w:color w:val="000000" w:themeColor="text1"/>
                <w:sz w:val="24"/>
                <w:highlight w:val="none"/>
                <w14:textFill>
                  <w14:solidFill>
                    <w14:schemeClr w14:val="tx1"/>
                  </w14:solidFill>
                </w14:textFill>
              </w:rPr>
              <w:t>黄丽燕</w:t>
            </w:r>
          </w:p>
        </w:tc>
        <w:tc>
          <w:tcPr>
            <w:tcW w:w="987" w:type="pct"/>
            <w:tcBorders>
              <w:top w:val="single" w:color="auto" w:sz="4" w:space="0"/>
              <w:left w:val="nil"/>
              <w:bottom w:val="single" w:color="auto" w:sz="4" w:space="0"/>
              <w:right w:val="single" w:color="auto" w:sz="4" w:space="0"/>
            </w:tcBorders>
            <w:vAlign w:val="center"/>
          </w:tcPr>
          <w:p w14:paraId="46B75FE4">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主治医师</w:t>
            </w:r>
          </w:p>
        </w:tc>
        <w:tc>
          <w:tcPr>
            <w:tcW w:w="1206" w:type="pct"/>
            <w:tcBorders>
              <w:top w:val="single" w:color="000000" w:sz="2" w:space="0"/>
              <w:left w:val="nil"/>
              <w:bottom w:val="single" w:color="000000" w:sz="2" w:space="0"/>
              <w:right w:val="single" w:color="auto" w:sz="4" w:space="0"/>
            </w:tcBorders>
            <w:vAlign w:val="center"/>
          </w:tcPr>
          <w:p w14:paraId="7E89CAA8">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桂林市中医医院</w:t>
            </w:r>
          </w:p>
        </w:tc>
        <w:tc>
          <w:tcPr>
            <w:tcW w:w="2250" w:type="pct"/>
            <w:tcBorders>
              <w:top w:val="single" w:color="auto" w:sz="4" w:space="0"/>
              <w:left w:val="nil"/>
              <w:bottom w:val="single" w:color="auto" w:sz="4" w:space="0"/>
              <w:right w:val="single" w:color="auto" w:sz="4" w:space="0"/>
            </w:tcBorders>
            <w:vAlign w:val="center"/>
          </w:tcPr>
          <w:p w14:paraId="1CF0FC70">
            <w:pPr>
              <w:ind w:firstLine="0" w:firstLineChars="0"/>
              <w:rPr>
                <w:rFonts w:ascii="仿宋_GB2312"/>
                <w:sz w:val="24"/>
                <w:highlight w:val="none"/>
              </w:rPr>
            </w:pPr>
            <w:r>
              <w:rPr>
                <w:rFonts w:hint="eastAsia" w:ascii="仿宋_GB2312"/>
                <w:sz w:val="24"/>
                <w:highlight w:val="none"/>
              </w:rPr>
              <w:t>对标准实施情况进行总结分析，不断对团体标准提出修正意见。</w:t>
            </w:r>
          </w:p>
        </w:tc>
      </w:tr>
      <w:tr w14:paraId="074D3F12">
        <w:tblPrEx>
          <w:tblCellMar>
            <w:top w:w="0" w:type="dxa"/>
            <w:left w:w="108" w:type="dxa"/>
            <w:bottom w:w="0" w:type="dxa"/>
            <w:right w:w="108" w:type="dxa"/>
          </w:tblCellMar>
        </w:tblPrEx>
        <w:trPr>
          <w:cantSplit/>
          <w:trHeight w:val="732" w:hRule="atLeast"/>
        </w:trPr>
        <w:tc>
          <w:tcPr>
            <w:tcW w:w="555" w:type="pct"/>
            <w:tcBorders>
              <w:top w:val="single" w:color="auto" w:sz="4" w:space="0"/>
              <w:left w:val="single" w:color="auto" w:sz="4" w:space="0"/>
              <w:bottom w:val="single" w:color="auto" w:sz="4" w:space="0"/>
              <w:right w:val="single" w:color="008000" w:sz="4" w:space="0"/>
            </w:tcBorders>
            <w:vAlign w:val="center"/>
          </w:tcPr>
          <w:p w14:paraId="7B545865">
            <w:pPr>
              <w:ind w:firstLine="0" w:firstLineChars="0"/>
              <w:jc w:val="center"/>
              <w:rPr>
                <w:rFonts w:ascii="仿宋_GB2312"/>
                <w:color w:val="000000" w:themeColor="text1"/>
                <w:sz w:val="24"/>
                <w:highlight w:val="none"/>
                <w14:textFill>
                  <w14:solidFill>
                    <w14:schemeClr w14:val="tx1"/>
                  </w14:solidFill>
                </w14:textFill>
              </w:rPr>
            </w:pPr>
            <w:bookmarkStart w:id="5" w:name="_GoBack"/>
            <w:bookmarkEnd w:id="5"/>
            <w:r>
              <w:rPr>
                <w:rFonts w:hint="eastAsia" w:ascii="仿宋_GB2312"/>
                <w:color w:val="000000" w:themeColor="text1"/>
                <w:sz w:val="24"/>
                <w:highlight w:val="none"/>
                <w14:textFill>
                  <w14:solidFill>
                    <w14:schemeClr w14:val="tx1"/>
                  </w14:solidFill>
                </w14:textFill>
              </w:rPr>
              <w:t>陈锦凤</w:t>
            </w:r>
          </w:p>
        </w:tc>
        <w:tc>
          <w:tcPr>
            <w:tcW w:w="987" w:type="pct"/>
            <w:tcBorders>
              <w:top w:val="single" w:color="auto" w:sz="4" w:space="0"/>
              <w:left w:val="nil"/>
              <w:bottom w:val="single" w:color="auto" w:sz="4" w:space="0"/>
              <w:right w:val="single" w:color="auto" w:sz="4" w:space="0"/>
            </w:tcBorders>
            <w:vAlign w:val="center"/>
          </w:tcPr>
          <w:p w14:paraId="08F19181">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主治医师</w:t>
            </w:r>
          </w:p>
        </w:tc>
        <w:tc>
          <w:tcPr>
            <w:tcW w:w="1206" w:type="pct"/>
            <w:tcBorders>
              <w:top w:val="single" w:color="000000" w:sz="2" w:space="0"/>
              <w:left w:val="nil"/>
              <w:bottom w:val="single" w:color="000000" w:sz="2" w:space="0"/>
              <w:right w:val="single" w:color="auto" w:sz="4" w:space="0"/>
            </w:tcBorders>
            <w:vAlign w:val="center"/>
          </w:tcPr>
          <w:p w14:paraId="38DEAE53">
            <w:pPr>
              <w:ind w:firstLine="0" w:firstLineChars="0"/>
              <w:jc w:val="center"/>
              <w:rPr>
                <w:rFonts w:hint="default" w:ascii="仿宋_GB2312" w:hAnsi="仿宋" w:eastAsia="仿宋_GB2312" w:cs="宋体"/>
                <w:sz w:val="24"/>
                <w:highlight w:val="none"/>
                <w:lang w:val="en-US" w:eastAsia="zh-CN"/>
              </w:rPr>
            </w:pPr>
            <w:r>
              <w:rPr>
                <w:rFonts w:hint="eastAsia" w:ascii="仿宋_GB2312" w:hAnsi="仿宋" w:cs="宋体"/>
                <w:sz w:val="24"/>
                <w:highlight w:val="none"/>
                <w:lang w:val="en-US" w:eastAsia="zh-CN"/>
              </w:rPr>
              <w:t>梧州市中医医院</w:t>
            </w:r>
          </w:p>
        </w:tc>
        <w:tc>
          <w:tcPr>
            <w:tcW w:w="2250" w:type="pct"/>
            <w:tcBorders>
              <w:top w:val="single" w:color="auto" w:sz="4" w:space="0"/>
              <w:left w:val="nil"/>
              <w:bottom w:val="single" w:color="auto" w:sz="4" w:space="0"/>
              <w:right w:val="single" w:color="auto" w:sz="4" w:space="0"/>
            </w:tcBorders>
            <w:vAlign w:val="center"/>
          </w:tcPr>
          <w:p w14:paraId="0F5A1A56">
            <w:pPr>
              <w:ind w:firstLine="0" w:firstLineChars="0"/>
              <w:rPr>
                <w:rFonts w:ascii="仿宋_GB2312"/>
                <w:sz w:val="24"/>
                <w:highlight w:val="none"/>
              </w:rPr>
            </w:pPr>
            <w:r>
              <w:rPr>
                <w:rFonts w:hint="eastAsia" w:ascii="仿宋_GB2312"/>
                <w:sz w:val="24"/>
                <w:highlight w:val="none"/>
              </w:rPr>
              <w:t>参与标准文本及编制说明的编写；组织开展标准征求意见会</w:t>
            </w:r>
          </w:p>
        </w:tc>
      </w:tr>
    </w:tbl>
    <w:p w14:paraId="47B82244">
      <w:pPr>
        <w:autoSpaceDE w:val="0"/>
        <w:autoSpaceDN w:val="0"/>
        <w:adjustRightInd w:val="0"/>
        <w:spacing w:before="156" w:beforeLines="50" w:after="156" w:afterLines="50" w:line="560" w:lineRule="exact"/>
        <w:ind w:firstLine="640"/>
        <w:jc w:val="left"/>
        <w:rPr>
          <w:rFonts w:ascii="黑体" w:hAnsi="黑体" w:eastAsia="黑体" w:cs="仿宋_GB2312"/>
          <w:szCs w:val="32"/>
        </w:rPr>
      </w:pPr>
      <w:r>
        <w:rPr>
          <w:rFonts w:hint="eastAsia" w:ascii="黑体" w:hAnsi="黑体" w:eastAsia="黑体" w:cs="仿宋_GB2312"/>
          <w:szCs w:val="32"/>
        </w:rPr>
        <w:t>二、制定标准的必要性和意义</w:t>
      </w:r>
    </w:p>
    <w:p w14:paraId="15B26F73">
      <w:pPr>
        <w:autoSpaceDE w:val="0"/>
        <w:autoSpaceDN w:val="0"/>
        <w:adjustRightInd w:val="0"/>
        <w:spacing w:line="560" w:lineRule="exact"/>
        <w:ind w:firstLine="640"/>
        <w:rPr>
          <w:rFonts w:ascii="仿宋_GB2312" w:hAnsi="宋体"/>
          <w:szCs w:val="28"/>
        </w:rPr>
      </w:pPr>
      <w:r>
        <w:rPr>
          <w:rFonts w:hint="eastAsia" w:ascii="仿宋_GB2312" w:hAnsi="宋体"/>
          <w:szCs w:val="28"/>
        </w:rPr>
        <w:t>脑卒中具有高发病率、高致残率、高死亡率的特点，我国每年新发脑卒中患者约200万人，其中70%～80%患者生活不能自理。严重影响了患者的日常生活质量和社会参与能力，给病人、家庭和社会带来沉重的负担。中风偏瘫是最常见的中风后遗症，也是中风病患者最常见的残障形式。根据最新公布的全球疾病负担研究数据显示，全球脑卒中患病人数估计超过1亿，我国超过八成患者的脑卒中类型是脑梗死，带病生存的脑卒中患者在我国多达1700多万。数据显示，我国40—74岁人群脑卒中发病率平均每年增长超过了8%，值得警惕的是，在我国，脑卒中不仅死亡率逐年上升，发病也在趋于年轻化，45岁以下人群的发病率已经超过总发病率的10%。我国脑卒中患病总人数已超过2800万，每5位死亡者中就至少有1人死于脑卒中。中风自古有之，在《黄帝内经》以患者出现的临床证候来命名如半身不遂者以偏枯、偏风、身偏不用来命名，常见的主症包括：猝然昏扑、不省人事、半身不遂、口眼歪斜、言语不利等，这些症状导致患者出现严重的功能障碍，最终合并多种并发症加剧病情甚至导致死亡，给病人、家庭和社会带来极其沉重的负担。卒中康复是脑卒中整体治疗中不可或缺的关键环节，可预防并发症、最大限度减轻功能障碍，改善预后，因此如何有效地改善卒中后症状是康复治疗的重要环节。</w:t>
      </w:r>
    </w:p>
    <w:p w14:paraId="4A7854DE">
      <w:pPr>
        <w:autoSpaceDE w:val="0"/>
        <w:autoSpaceDN w:val="0"/>
        <w:adjustRightInd w:val="0"/>
        <w:spacing w:line="560" w:lineRule="exact"/>
        <w:ind w:firstLine="640"/>
        <w:rPr>
          <w:rFonts w:ascii="仿宋_GB2312" w:hAnsi="宋体"/>
          <w:szCs w:val="28"/>
        </w:rPr>
      </w:pPr>
      <w:r>
        <w:rPr>
          <w:rFonts w:hint="eastAsia" w:ascii="仿宋_GB2312" w:hAnsi="宋体"/>
          <w:szCs w:val="28"/>
        </w:rPr>
        <w:t>药棒循经推拿法作为一种特色的中医外治法，是广西特色的中医药服务体系的重要组成部分，与我区经济建设和医疗服务体系发展联系紧密。药棒循经推拿法是专科在中药烫疗、推拿按摩、经络治疗、点穴治疗等中医传统治疗方法的基础上，结合经络理论创立的一种治疗中风偏瘫的外治疗法，具有“简、便、廉、验”的特点，疗效可靠，副作用小，被广大病人所接受。目前国内外均没有药棒循经推拿法治疗中风这类疾病的相关标准，为普及推广适宜技术，提供同质化的指导，形成一体化管理，急需通过整理、制定标准化的技术操作规范，对培养高素质的中医药医护人才及提升学科内涵具有重要意义。</w:t>
      </w:r>
    </w:p>
    <w:p w14:paraId="0C376631">
      <w:pPr>
        <w:autoSpaceDE w:val="0"/>
        <w:autoSpaceDN w:val="0"/>
        <w:adjustRightInd w:val="0"/>
        <w:spacing w:line="560" w:lineRule="exact"/>
        <w:ind w:firstLine="640"/>
        <w:rPr>
          <w:rFonts w:ascii="仿宋_GB2312" w:hAnsi="宋体"/>
          <w:szCs w:val="28"/>
        </w:rPr>
      </w:pPr>
      <w:r>
        <w:rPr>
          <w:rFonts w:hint="eastAsia" w:ascii="宋体" w:hAnsi="宋体" w:cs="宋体"/>
          <w:bCs/>
        </w:rPr>
        <w:t>然而，目前药棒循经推拿法在治疗缺血性中风偏瘫方面，尚未形成统一规范。不同医疗机构和从业者在操作手法、药棒制作、穴位选择等方面差异较大，导致临床疗效参差不齐。这不仅影响了该疗法的推广应用，也阻碍了行业的健康发展。制定团体标准，能统一技术要求，明确操作流程，为从业者提供科学依据，促进药棒循经推拿法的规范化、标准化发展，提升整个行业的技术水平和服务质量。此外，缺血性中风偏瘫患者数量众多，对有效的治疗方法需求迫切。药棒循经推拿法作为一种特色中医疗法，在改善患者肢体功能、提高生活质量方面具有一定潜力。然而，由于缺乏统一标准，患者难以判断治疗的规范性和有效性，可能面临治疗效果不佳甚至延误病情的风险。制定团体标准，可保障患者接受规范、安全、有效的治疗，提高治疗成功率，切实满足患者的治疗需求，维护患者的健康权益。</w:t>
      </w:r>
    </w:p>
    <w:p w14:paraId="2F468213">
      <w:pPr>
        <w:autoSpaceDE w:val="0"/>
        <w:autoSpaceDN w:val="0"/>
        <w:adjustRightInd w:val="0"/>
        <w:spacing w:line="560" w:lineRule="exact"/>
        <w:ind w:firstLine="640"/>
        <w:rPr>
          <w:rFonts w:ascii="仿宋_GB2312" w:hAnsi="宋体"/>
          <w:szCs w:val="28"/>
        </w:rPr>
      </w:pPr>
      <w:r>
        <w:rPr>
          <w:rFonts w:hint="eastAsia" w:ascii="仿宋_GB2312" w:hAnsi="宋体"/>
          <w:szCs w:val="28"/>
        </w:rPr>
        <w:t>通过制定团体标准《药棒循经推拿法治疗缺血性中风偏瘫技术操作规范》，以标准为抓手，统一规范药棒循经推拿法治疗缺血性中风偏瘫技术操作，对提升广西各医院的缺血性中风偏瘫治疗水平，促进广西医疗卫生事业的高质量具有重要意义。</w:t>
      </w:r>
    </w:p>
    <w:p w14:paraId="408775C7">
      <w:pPr>
        <w:autoSpaceDE w:val="0"/>
        <w:autoSpaceDN w:val="0"/>
        <w:adjustRightInd w:val="0"/>
        <w:spacing w:line="560" w:lineRule="exact"/>
        <w:ind w:firstLine="640"/>
        <w:jc w:val="left"/>
        <w:rPr>
          <w:rFonts w:ascii="黑体" w:hAnsi="黑体" w:eastAsia="黑体" w:cs="仿宋_GB2312"/>
          <w:szCs w:val="32"/>
        </w:rPr>
      </w:pPr>
      <w:r>
        <w:rPr>
          <w:rFonts w:hint="eastAsia" w:ascii="黑体" w:hAnsi="黑体" w:eastAsia="黑体" w:cs="仿宋_GB2312"/>
          <w:szCs w:val="32"/>
        </w:rPr>
        <w:t>三、主要起草过程</w:t>
      </w:r>
    </w:p>
    <w:p w14:paraId="7018AB95">
      <w:pPr>
        <w:spacing w:line="560" w:lineRule="exact"/>
        <w:ind w:firstLine="643"/>
        <w:rPr>
          <w:rFonts w:ascii="楷体" w:hAnsi="楷体" w:eastAsia="楷体"/>
          <w:szCs w:val="28"/>
        </w:rPr>
      </w:pPr>
      <w:r>
        <w:rPr>
          <w:rFonts w:hint="eastAsia" w:ascii="楷体" w:hAnsi="楷体" w:eastAsia="楷体" w:cs="仿宋_GB2312"/>
          <w:b/>
          <w:szCs w:val="28"/>
        </w:rPr>
        <w:t>（一）成立标准编制工作组</w:t>
      </w:r>
    </w:p>
    <w:p w14:paraId="40F7D8D9">
      <w:pPr>
        <w:ind w:firstLine="640"/>
        <w:rPr>
          <w:rFonts w:ascii="仿宋_GB2312" w:hAnsi="宋体"/>
          <w:szCs w:val="28"/>
        </w:rPr>
      </w:pPr>
      <w:r>
        <w:rPr>
          <w:rFonts w:hint="eastAsia" w:ascii="仿宋_GB2312" w:hAnsi="宋体"/>
          <w:szCs w:val="28"/>
        </w:rPr>
        <w:t>团体标准《药棒循经推拿法治疗缺血性中风偏瘫技术操作规范》项目任务下达后，南宁市中医医院成立了标准编制工作组，起草单位制定了起草编写方案与进度安排，明确任务职责，确定工作技术路线，开展标准研制工作。具体标准编制工作由南宁市中医医院、广西中医药大学第二附属医院、广西中医药大学第一附属医院、桂林市中医医院、梧州市中医医院等单位负责人组成的标准编制工作组完成。</w:t>
      </w:r>
    </w:p>
    <w:p w14:paraId="6FBE4A2A">
      <w:pPr>
        <w:ind w:firstLine="640"/>
        <w:rPr>
          <w:rFonts w:ascii="仿宋_GB2312" w:hAnsi="宋体"/>
          <w:szCs w:val="28"/>
        </w:rPr>
      </w:pPr>
      <w:r>
        <w:rPr>
          <w:rFonts w:hint="eastAsia" w:ascii="仿宋_GB2312" w:hAnsi="宋体"/>
          <w:szCs w:val="28"/>
        </w:rPr>
        <w:t>编制工作组下设三个组，分别是资料收集组、草案编写组、标准实施组。</w:t>
      </w:r>
    </w:p>
    <w:p w14:paraId="68277001">
      <w:pPr>
        <w:ind w:firstLine="640"/>
        <w:rPr>
          <w:rFonts w:ascii="仿宋_GB2312" w:hAnsi="宋体"/>
          <w:szCs w:val="28"/>
        </w:rPr>
      </w:pPr>
      <w:r>
        <w:rPr>
          <w:rFonts w:hint="eastAsia" w:ascii="仿宋_GB2312" w:hAnsi="宋体"/>
          <w:szCs w:val="28"/>
        </w:rPr>
        <w:t>资料收集组负责国内外有关药棒循经推拿法治疗缺血性中风偏瘫技术的文献资料的查询、收集和整理工作，查阅前人对药棒循经推拿法治疗缺血性中风偏瘫技术的研究情况。</w:t>
      </w:r>
    </w:p>
    <w:p w14:paraId="5C6A0E46">
      <w:pPr>
        <w:ind w:firstLine="640"/>
        <w:rPr>
          <w:rFonts w:ascii="仿宋_GB2312" w:hAnsi="宋体"/>
          <w:szCs w:val="28"/>
        </w:rPr>
      </w:pPr>
      <w:r>
        <w:rPr>
          <w:rFonts w:hint="eastAsia" w:ascii="仿宋_GB2312" w:hAnsi="宋体"/>
          <w:szCs w:val="28"/>
        </w:rPr>
        <w:t>草案编写组负责起草标准草案、征求意见稿和标准编制说明、送审稿及编制说明的编写工作，包括后期召开征求意见会、网上征求意见，以及标准的不断修改和完善。</w:t>
      </w:r>
    </w:p>
    <w:p w14:paraId="6AA09C53">
      <w:pPr>
        <w:ind w:firstLine="640"/>
        <w:rPr>
          <w:rFonts w:ascii="仿宋_GB2312" w:hAnsi="宋体"/>
          <w:szCs w:val="28"/>
        </w:rPr>
      </w:pPr>
      <w:r>
        <w:rPr>
          <w:rFonts w:hint="eastAsia" w:ascii="仿宋_GB2312" w:hAnsi="宋体"/>
          <w:szCs w:val="28"/>
        </w:rPr>
        <w:t>标准实施组负责团体标准《药棒循经推拿法治疗缺血性中风偏瘫技术操作规范》发布后，组织相关医疗单位开展标准宣贯培训会，对标准进行详细解读，让相关人员了解标准，并根据标准对药棒循经推拿法治疗缺血性中风偏瘫技术进行规范化操作，并对标准实施情况进行总结分析，不断对团体标准提出修正意见。</w:t>
      </w:r>
    </w:p>
    <w:p w14:paraId="00626093">
      <w:pPr>
        <w:spacing w:line="560" w:lineRule="exact"/>
        <w:ind w:firstLine="643"/>
        <w:rPr>
          <w:rFonts w:ascii="楷体" w:hAnsi="楷体" w:eastAsia="楷体" w:cs="仿宋_GB2312"/>
          <w:b/>
          <w:szCs w:val="28"/>
        </w:rPr>
      </w:pPr>
      <w:r>
        <w:rPr>
          <w:rFonts w:hint="eastAsia" w:ascii="楷体" w:hAnsi="楷体" w:eastAsia="楷体" w:cs="仿宋_GB2312"/>
          <w:b/>
          <w:szCs w:val="28"/>
        </w:rPr>
        <w:t>（二）收集整理文献资料</w:t>
      </w:r>
    </w:p>
    <w:p w14:paraId="32A4C8BB">
      <w:pPr>
        <w:ind w:firstLine="640"/>
        <w:rPr>
          <w:rFonts w:hint="eastAsia" w:ascii="仿宋_GB2312" w:hAnsi="宋体"/>
          <w:szCs w:val="28"/>
          <w:lang w:val="fr-FR"/>
        </w:rPr>
      </w:pPr>
      <w:r>
        <w:rPr>
          <w:rFonts w:hint="eastAsia" w:ascii="仿宋_GB2312" w:hAnsi="宋体"/>
          <w:szCs w:val="28"/>
        </w:rPr>
        <w:t>标准编制工作组收集了国内与</w:t>
      </w:r>
      <w:r>
        <w:rPr>
          <w:rFonts w:hint="eastAsia" w:ascii="宋体" w:hAnsi="宋体" w:cs="宋体"/>
        </w:rPr>
        <w:t>“循经推拿”“缺血性中风”“中风偏瘫”</w:t>
      </w:r>
      <w:r>
        <w:rPr>
          <w:rFonts w:hint="eastAsia" w:ascii="仿宋_GB2312" w:hAnsi="宋体"/>
          <w:szCs w:val="28"/>
        </w:rPr>
        <w:t>相关的资料，主要有</w:t>
      </w:r>
      <w:r>
        <w:rPr>
          <w:rFonts w:hint="eastAsia" w:ascii="仿宋_GB2312" w:hAnsi="宋体"/>
          <w:szCs w:val="28"/>
          <w:lang w:val="fr-FR"/>
        </w:rPr>
        <w:t>：</w:t>
      </w:r>
    </w:p>
    <w:p w14:paraId="7DC212BE">
      <w:pPr>
        <w:ind w:firstLine="640"/>
        <w:rPr>
          <w:rFonts w:ascii="仿宋_GB2312" w:hAnsi="宋体"/>
          <w:szCs w:val="28"/>
          <w:lang w:val="fr-FR"/>
        </w:rPr>
      </w:pPr>
      <w:r>
        <w:rPr>
          <w:rFonts w:hint="eastAsia" w:ascii="仿宋_GB2312" w:hAnsi="宋体"/>
          <w:szCs w:val="28"/>
          <w:lang w:val="fr-FR"/>
        </w:rPr>
        <w:t>1、相关标准</w:t>
      </w:r>
    </w:p>
    <w:p w14:paraId="0B7FC852">
      <w:pPr>
        <w:spacing w:line="560" w:lineRule="exact"/>
        <w:ind w:firstLine="640"/>
        <w:rPr>
          <w:rFonts w:ascii="仿宋_GB2312" w:hAnsi="宋体"/>
          <w:szCs w:val="28"/>
        </w:rPr>
      </w:pPr>
      <w:r>
        <w:rPr>
          <w:rFonts w:hint="eastAsia" w:ascii="仿宋_GB2312" w:hAnsi="宋体"/>
          <w:szCs w:val="28"/>
        </w:rPr>
        <w:t>DB45/T 2236-2020  《扁免崩（中风偏瘫）瑶浴技术操作规范》</w:t>
      </w:r>
    </w:p>
    <w:p w14:paraId="696A9D00">
      <w:pPr>
        <w:spacing w:line="560" w:lineRule="exact"/>
        <w:ind w:firstLine="640"/>
        <w:rPr>
          <w:rFonts w:ascii="仿宋_GB2312" w:hAnsi="宋体"/>
          <w:szCs w:val="28"/>
        </w:rPr>
      </w:pPr>
      <w:r>
        <w:rPr>
          <w:rFonts w:hint="eastAsia" w:ascii="仿宋_GB2312" w:hAnsi="宋体"/>
          <w:szCs w:val="28"/>
        </w:rPr>
        <w:t>T/GXAS 557-2023《中风偏瘫痉挛状态壮医经筋挑刺疗法临床操作技术规范》</w:t>
      </w:r>
    </w:p>
    <w:p w14:paraId="2821C3EA">
      <w:pPr>
        <w:spacing w:line="560" w:lineRule="exact"/>
        <w:ind w:firstLine="640"/>
        <w:rPr>
          <w:rFonts w:ascii="仿宋_GB2312" w:hAnsi="宋体"/>
          <w:szCs w:val="28"/>
        </w:rPr>
      </w:pPr>
      <w:r>
        <w:rPr>
          <w:rFonts w:hint="eastAsia" w:ascii="仿宋_GB2312" w:hAnsi="宋体"/>
          <w:szCs w:val="28"/>
        </w:rPr>
        <w:t>T/GXAS 868-2024《缺血性中风中西医结合诊疗规范》</w:t>
      </w:r>
    </w:p>
    <w:p w14:paraId="5C81E7BD">
      <w:pPr>
        <w:spacing w:line="560" w:lineRule="exact"/>
        <w:ind w:firstLine="640"/>
        <w:rPr>
          <w:rFonts w:hint="eastAsia" w:ascii="仿宋_GB2312" w:hAnsi="宋体"/>
          <w:szCs w:val="28"/>
        </w:rPr>
      </w:pPr>
      <w:r>
        <w:rPr>
          <w:rFonts w:hint="eastAsia" w:ascii="仿宋_GB2312" w:hAnsi="宋体"/>
          <w:szCs w:val="28"/>
        </w:rPr>
        <w:t>T/GXAS 874-2024《缺血性中风（脑卒中）中医康复规范》</w:t>
      </w:r>
    </w:p>
    <w:p w14:paraId="342BE39E">
      <w:pPr>
        <w:spacing w:line="560" w:lineRule="exact"/>
        <w:ind w:firstLine="640"/>
        <w:rPr>
          <w:rFonts w:hint="eastAsia" w:ascii="仿宋_GB2312" w:hAnsi="宋体"/>
          <w:szCs w:val="28"/>
        </w:rPr>
      </w:pPr>
      <w:r>
        <w:rPr>
          <w:rFonts w:hint="eastAsia" w:ascii="仿宋_GB2312" w:hAnsi="宋体"/>
          <w:szCs w:val="28"/>
        </w:rPr>
        <w:t>2、相关文献</w:t>
      </w:r>
    </w:p>
    <w:p w14:paraId="332E31F8">
      <w:pPr>
        <w:autoSpaceDE w:val="0"/>
        <w:autoSpaceDN w:val="0"/>
        <w:adjustRightInd w:val="0"/>
        <w:spacing w:line="560" w:lineRule="exact"/>
        <w:ind w:firstLine="640"/>
        <w:rPr>
          <w:rFonts w:ascii="仿宋_GB2312" w:hAnsi="黑体" w:cs="仿宋_GB2312"/>
          <w:szCs w:val="32"/>
        </w:rPr>
      </w:pPr>
      <w:r>
        <w:rPr>
          <w:rFonts w:hint="eastAsia" w:ascii="仿宋_GB2312" w:hAnsi="黑体" w:cs="仿宋_GB2312"/>
          <w:szCs w:val="32"/>
        </w:rPr>
        <w:t>[1]陈薇，陆筱颖，梁焕英，谢晓艳，凌笑琴，陈海峰，谭凯文. 自创药棒循经推按法治疗中风偏瘫理论与临床实践[J]. 辽宁中医杂志，2020，11:176-177.</w:t>
      </w:r>
    </w:p>
    <w:p w14:paraId="28BEA7D2">
      <w:pPr>
        <w:autoSpaceDE w:val="0"/>
        <w:autoSpaceDN w:val="0"/>
        <w:adjustRightInd w:val="0"/>
        <w:spacing w:line="560" w:lineRule="exact"/>
        <w:ind w:firstLine="640"/>
        <w:rPr>
          <w:rFonts w:ascii="仿宋_GB2312" w:hAnsi="黑体" w:cs="仿宋_GB2312"/>
          <w:szCs w:val="32"/>
        </w:rPr>
      </w:pPr>
      <w:r>
        <w:rPr>
          <w:rFonts w:hint="eastAsia" w:ascii="仿宋_GB2312" w:hAnsi="黑体" w:cs="仿宋_GB2312"/>
          <w:szCs w:val="32"/>
        </w:rPr>
        <w:t>[2]梁焕英，梁惠志，兰鹏，温金星，谭凯文. 药棒循经推按法治疗脑卒中偏瘫42例观察[J]. 实用中医药杂志，2012，06:458-459.</w:t>
      </w:r>
    </w:p>
    <w:p w14:paraId="5E8B84D0">
      <w:pPr>
        <w:autoSpaceDE w:val="0"/>
        <w:autoSpaceDN w:val="0"/>
        <w:adjustRightInd w:val="0"/>
        <w:spacing w:line="560" w:lineRule="exact"/>
        <w:ind w:firstLine="640"/>
        <w:rPr>
          <w:rFonts w:ascii="仿宋_GB2312" w:hAnsi="黑体" w:cs="仿宋_GB2312"/>
          <w:szCs w:val="32"/>
        </w:rPr>
      </w:pPr>
      <w:r>
        <w:rPr>
          <w:rFonts w:hint="eastAsia" w:ascii="仿宋_GB2312" w:hAnsi="黑体" w:cs="仿宋_GB2312"/>
          <w:szCs w:val="32"/>
        </w:rPr>
        <w:t>[3]蒋艺生，梁焕英，陆立和.药棒循经推按法治疗腰椎间盘突出症缓解期疼痛临床研究[J].河南中医，2017，37(10):1845-1847.）</w:t>
      </w:r>
    </w:p>
    <w:p w14:paraId="1EFC683C">
      <w:pPr>
        <w:autoSpaceDE w:val="0"/>
        <w:autoSpaceDN w:val="0"/>
        <w:adjustRightInd w:val="0"/>
        <w:spacing w:line="560" w:lineRule="exact"/>
        <w:ind w:firstLine="640"/>
        <w:rPr>
          <w:rFonts w:ascii="仿宋_GB2312" w:hAnsi="黑体" w:cs="仿宋_GB2312"/>
          <w:szCs w:val="32"/>
        </w:rPr>
      </w:pPr>
      <w:r>
        <w:rPr>
          <w:rFonts w:hint="eastAsia" w:ascii="仿宋_GB2312" w:hAnsi="黑体" w:cs="仿宋_GB2312"/>
          <w:szCs w:val="32"/>
        </w:rPr>
        <w:t>[4]苏锦勋，潘凤仙，罗穗，等．药棒循经推按法联合痛必灵酊治疗卒中后肩手综合征Ⅰ期疗效观察[J]．广西中医药，2018，41(5):37-39.）</w:t>
      </w:r>
    </w:p>
    <w:p w14:paraId="73C74043">
      <w:pPr>
        <w:autoSpaceDE w:val="0"/>
        <w:autoSpaceDN w:val="0"/>
        <w:adjustRightInd w:val="0"/>
        <w:spacing w:line="560" w:lineRule="exact"/>
        <w:ind w:firstLine="640"/>
        <w:rPr>
          <w:rFonts w:ascii="仿宋_GB2312" w:hAnsi="黑体" w:cs="仿宋_GB2312"/>
          <w:szCs w:val="32"/>
        </w:rPr>
      </w:pPr>
      <w:r>
        <w:rPr>
          <w:rFonts w:hint="eastAsia" w:ascii="仿宋_GB2312" w:hAnsi="黑体" w:cs="仿宋_GB2312"/>
          <w:szCs w:val="32"/>
        </w:rPr>
        <w:t>[5] 陆筱颖，陈薇，梁焕英，李翠萍，谭凯文. 药棒循经推按法联合康复治疗缺血性中风病的临床疗效观察[J]. 大众科技，2018，01:50-51+66</w:t>
      </w:r>
    </w:p>
    <w:p w14:paraId="0716EA92">
      <w:pPr>
        <w:autoSpaceDE w:val="0"/>
        <w:autoSpaceDN w:val="0"/>
        <w:adjustRightInd w:val="0"/>
        <w:spacing w:line="560" w:lineRule="exact"/>
        <w:ind w:firstLine="640"/>
        <w:rPr>
          <w:rFonts w:ascii="仿宋_GB2312" w:hAnsi="黑体" w:cs="仿宋_GB2312"/>
          <w:szCs w:val="32"/>
        </w:rPr>
      </w:pPr>
      <w:r>
        <w:rPr>
          <w:rFonts w:hint="eastAsia" w:ascii="仿宋_GB2312" w:hAnsi="黑体" w:cs="仿宋_GB2312"/>
          <w:szCs w:val="32"/>
        </w:rPr>
        <w:t>[6]谭凯文，陆筱颖，陈海峰，施清燕，李配庆，陈薇. 芪蛭通络胶囊联合药棒循经推按法治疗缺血性卒中有效性临床研究[J]. 辽宁中医杂志，2021，11:84-87.</w:t>
      </w:r>
    </w:p>
    <w:p w14:paraId="5B4A3C20">
      <w:pPr>
        <w:autoSpaceDE w:val="0"/>
        <w:autoSpaceDN w:val="0"/>
        <w:adjustRightInd w:val="0"/>
        <w:spacing w:line="560" w:lineRule="exact"/>
        <w:ind w:firstLine="640"/>
        <w:rPr>
          <w:rFonts w:ascii="仿宋_GB2312" w:hAnsi="黑体" w:cs="仿宋_GB2312"/>
          <w:szCs w:val="32"/>
        </w:rPr>
      </w:pPr>
      <w:r>
        <w:rPr>
          <w:rFonts w:hint="eastAsia" w:ascii="仿宋_GB2312" w:hAnsi="黑体" w:cs="仿宋_GB2312"/>
          <w:szCs w:val="32"/>
        </w:rPr>
        <w:t>[7]高长玉，吴成翰，赵建国，曹晓岚，顼宝玉，吴波水，张成，王志红，王彩娟，张祥建.中国脑梗死中西医结合诊治指南(2017)[J].中国中西医结合杂志，2018，38(02):136-144.</w:t>
      </w:r>
    </w:p>
    <w:p w14:paraId="124E9D03">
      <w:pPr>
        <w:autoSpaceDE w:val="0"/>
        <w:autoSpaceDN w:val="0"/>
        <w:adjustRightInd w:val="0"/>
        <w:spacing w:line="560" w:lineRule="exact"/>
        <w:ind w:firstLine="640"/>
        <w:rPr>
          <w:rFonts w:ascii="仿宋_GB2312" w:hAnsi="黑体" w:cs="仿宋_GB2312"/>
          <w:szCs w:val="32"/>
        </w:rPr>
      </w:pPr>
      <w:r>
        <w:rPr>
          <w:rFonts w:hint="eastAsia" w:ascii="仿宋_GB2312" w:hAnsi="黑体" w:cs="仿宋_GB2312"/>
          <w:szCs w:val="32"/>
        </w:rPr>
        <w:t>[8] 中华医学会神经病学分会，中华医学会神经病学分会脑血管病学组.中国急性缺血性脑卒中诊治指南2018[J].中华神经科杂志，2018，51(9):669.</w:t>
      </w:r>
    </w:p>
    <w:p w14:paraId="7A1F5A0C">
      <w:pPr>
        <w:autoSpaceDE w:val="0"/>
        <w:autoSpaceDN w:val="0"/>
        <w:adjustRightInd w:val="0"/>
        <w:spacing w:line="560" w:lineRule="exact"/>
        <w:ind w:firstLine="640"/>
        <w:rPr>
          <w:rFonts w:ascii="仿宋_GB2312" w:hAnsi="黑体" w:cs="仿宋_GB2312"/>
          <w:szCs w:val="32"/>
        </w:rPr>
      </w:pPr>
      <w:r>
        <w:rPr>
          <w:rFonts w:hint="eastAsia" w:ascii="仿宋_GB2312" w:hAnsi="黑体" w:cs="仿宋_GB2312"/>
          <w:szCs w:val="32"/>
        </w:rPr>
        <w:t>[9]中华[1]. 中国各类主要脑血管病诊断要点2019[J]. 中华神经科杂志，2019，09:710-715.</w:t>
      </w:r>
    </w:p>
    <w:p w14:paraId="213F107B">
      <w:pPr>
        <w:autoSpaceDE w:val="0"/>
        <w:autoSpaceDN w:val="0"/>
        <w:adjustRightInd w:val="0"/>
        <w:spacing w:line="560" w:lineRule="exact"/>
        <w:ind w:firstLine="640"/>
        <w:rPr>
          <w:rFonts w:ascii="仿宋_GB2312" w:hAnsi="黑体" w:cs="仿宋_GB2312"/>
          <w:szCs w:val="32"/>
        </w:rPr>
      </w:pPr>
      <w:r>
        <w:rPr>
          <w:rFonts w:hint="eastAsia" w:ascii="仿宋_GB2312" w:hAnsi="黑体" w:cs="仿宋_GB2312"/>
          <w:szCs w:val="32"/>
        </w:rPr>
        <w:t>[10]医学会，中华医学会杂志社，中华医学会全科医学分会，中华医学会《中华全科医师杂志》编辑委员会，神经系统疾病基层诊疗指南编写专家组.缺血性卒中基层诊疗指南(2021年)[J].中华全科医师杂志，2021，20(09):927-946.</w:t>
      </w:r>
    </w:p>
    <w:p w14:paraId="1F2FB0EA">
      <w:pPr>
        <w:spacing w:line="560" w:lineRule="exact"/>
        <w:ind w:firstLine="640"/>
        <w:rPr>
          <w:rFonts w:ascii="仿宋_GB2312" w:hAnsi="宋体"/>
          <w:szCs w:val="28"/>
        </w:rPr>
      </w:pPr>
      <w:r>
        <w:rPr>
          <w:rFonts w:hint="eastAsia" w:ascii="仿宋_GB2312" w:hAnsi="黑体" w:cs="仿宋_GB2312"/>
          <w:szCs w:val="32"/>
        </w:rPr>
        <w:t>[11]章薇，娄必丹，李金香，石文英，刘小娟，唐健，陈成，刘民权，曹洋.中医康复临床实践指南·缺血性脑卒中（脑梗死）[J].康复学报，2021，31(06):437-447.</w:t>
      </w:r>
    </w:p>
    <w:p w14:paraId="74946676">
      <w:pPr>
        <w:spacing w:line="560" w:lineRule="exact"/>
        <w:ind w:firstLine="643"/>
        <w:rPr>
          <w:rFonts w:ascii="楷体" w:hAnsi="楷体" w:eastAsia="楷体" w:cs="仿宋_GB2312"/>
          <w:b/>
          <w:szCs w:val="28"/>
        </w:rPr>
      </w:pPr>
      <w:r>
        <w:rPr>
          <w:rFonts w:hint="eastAsia" w:ascii="楷体" w:hAnsi="楷体" w:eastAsia="楷体" w:cs="仿宋_GB2312"/>
          <w:b/>
          <w:szCs w:val="28"/>
        </w:rPr>
        <w:t>（三）研讨确定标准特色、创新点和主要内容</w:t>
      </w:r>
    </w:p>
    <w:p w14:paraId="1EEBBD88">
      <w:pPr>
        <w:spacing w:line="560" w:lineRule="exact"/>
        <w:ind w:firstLine="640"/>
        <w:rPr>
          <w:rFonts w:ascii="仿宋_GB2312" w:hAnsi="宋体"/>
          <w:szCs w:val="28"/>
        </w:rPr>
      </w:pPr>
      <w:r>
        <w:rPr>
          <w:rFonts w:hint="eastAsia" w:ascii="仿宋_GB2312" w:hAnsi="宋体"/>
          <w:szCs w:val="28"/>
        </w:rPr>
        <w:t>1、特色及创新点</w:t>
      </w:r>
    </w:p>
    <w:p w14:paraId="326C396A">
      <w:pPr>
        <w:tabs>
          <w:tab w:val="center" w:pos="4201"/>
          <w:tab w:val="right" w:leader="dot" w:pos="9298"/>
        </w:tabs>
        <w:autoSpaceDE w:val="0"/>
        <w:autoSpaceDN w:val="0"/>
        <w:ind w:firstLine="640"/>
        <w:outlineLvl w:val="2"/>
        <w:rPr>
          <w:rFonts w:ascii="仿宋_GB2312" w:hAnsi="宋体"/>
          <w:szCs w:val="28"/>
        </w:rPr>
      </w:pPr>
      <w:r>
        <w:rPr>
          <w:rFonts w:hint="eastAsia" w:ascii="仿宋_GB2312" w:hAnsi="宋体"/>
          <w:szCs w:val="28"/>
        </w:rPr>
        <w:t>（1）药棒循经推拿是南宁市中医医院脑病科创新性研发的设备和技术。药棒循经推拿法，使用特制的药棒以及药袋，根据经络循行的方向在人体肌表做来回往复的推拿运动，从而刺激人体的经络、腧穴、宗筋及脏腑，具有行气活血、祛风通络、缓急止痛、止痉的功效，进而达到治疗疾病、促进机体功能康复的一种中医外治疗法。</w:t>
      </w:r>
    </w:p>
    <w:p w14:paraId="5F5CFA60">
      <w:pPr>
        <w:tabs>
          <w:tab w:val="center" w:pos="4201"/>
          <w:tab w:val="right" w:leader="dot" w:pos="9298"/>
        </w:tabs>
        <w:autoSpaceDE w:val="0"/>
        <w:autoSpaceDN w:val="0"/>
        <w:ind w:firstLine="640"/>
        <w:outlineLvl w:val="2"/>
        <w:rPr>
          <w:rFonts w:ascii="仿宋_GB2312" w:hAnsi="宋体"/>
          <w:szCs w:val="28"/>
        </w:rPr>
      </w:pPr>
      <w:r>
        <w:rPr>
          <w:rFonts w:hint="eastAsia" w:ascii="仿宋_GB2312" w:hAnsi="宋体"/>
          <w:szCs w:val="28"/>
        </w:rPr>
        <w:t>（2）药棒循经推拿是一种创新性的结合了中药烫疗、推拿按摩、经络治疗、点穴治疗等中医传统治疗基础上的方法，结合经络理论创立的一种治疗中风偏瘫的外治疗法，具有“简、便、廉、验”的特点，疗效可靠，副作用小，被广大病人所接受。</w:t>
      </w:r>
    </w:p>
    <w:p w14:paraId="1B47F682">
      <w:pPr>
        <w:tabs>
          <w:tab w:val="center" w:pos="4201"/>
          <w:tab w:val="right" w:leader="dot" w:pos="9298"/>
        </w:tabs>
        <w:autoSpaceDE w:val="0"/>
        <w:autoSpaceDN w:val="0"/>
        <w:ind w:firstLine="640"/>
        <w:outlineLvl w:val="2"/>
        <w:rPr>
          <w:rFonts w:ascii="仿宋_GB2312" w:hAnsi="宋体"/>
          <w:szCs w:val="28"/>
        </w:rPr>
      </w:pPr>
      <w:r>
        <w:rPr>
          <w:rFonts w:hint="eastAsia" w:ascii="仿宋_GB2312" w:hAnsi="宋体"/>
          <w:szCs w:val="28"/>
        </w:rPr>
        <w:t>（3）目前国内外均没有药棒循经推拿法治疗中风这类疾病的相关标准，属于填补标准空白。</w:t>
      </w:r>
    </w:p>
    <w:p w14:paraId="0EE97F13">
      <w:pPr>
        <w:tabs>
          <w:tab w:val="center" w:pos="4201"/>
          <w:tab w:val="right" w:leader="dot" w:pos="9298"/>
        </w:tabs>
        <w:autoSpaceDE w:val="0"/>
        <w:autoSpaceDN w:val="0"/>
        <w:ind w:firstLine="640"/>
        <w:outlineLvl w:val="2"/>
        <w:rPr>
          <w:rFonts w:ascii="仿宋_GB2312" w:hAnsi="宋体"/>
          <w:szCs w:val="28"/>
        </w:rPr>
      </w:pPr>
      <w:r>
        <w:rPr>
          <w:rFonts w:hint="eastAsia" w:ascii="仿宋_GB2312" w:hAnsi="宋体"/>
          <w:szCs w:val="28"/>
        </w:rPr>
        <w:t>2.主体内容</w:t>
      </w:r>
    </w:p>
    <w:p w14:paraId="1BD2D671">
      <w:pPr>
        <w:tabs>
          <w:tab w:val="center" w:pos="4201"/>
          <w:tab w:val="right" w:leader="dot" w:pos="9298"/>
        </w:tabs>
        <w:autoSpaceDE w:val="0"/>
        <w:autoSpaceDN w:val="0"/>
        <w:ind w:firstLine="640"/>
        <w:outlineLvl w:val="2"/>
        <w:rPr>
          <w:rFonts w:ascii="仿宋_GB2312" w:hAnsi="宋体"/>
          <w:szCs w:val="28"/>
        </w:rPr>
      </w:pPr>
      <w:r>
        <w:rPr>
          <w:rFonts w:hint="eastAsia" w:ascii="仿宋_GB2312" w:hAnsi="宋体"/>
          <w:szCs w:val="28"/>
        </w:rPr>
        <w:t>标准编制工作组在对收集的资料进行整理研究之后，2026年2月，标准编制工作组召开了标准编制会议，对标准的整体框架结构进行了研究，并对标准的关键性内容进行了初步探讨。经过研究，标准的主体内容确定为</w:t>
      </w:r>
      <w:bookmarkStart w:id="0" w:name="OLE_LINK3"/>
      <w:bookmarkStart w:id="1" w:name="OLE_LINK4"/>
      <w:r>
        <w:rPr>
          <w:rFonts w:hint="eastAsia" w:ascii="仿宋_GB2312" w:hAnsi="宋体"/>
          <w:color w:val="000000" w:themeColor="text1"/>
          <w:szCs w:val="28"/>
          <w14:textFill>
            <w14:solidFill>
              <w14:schemeClr w14:val="tx1"/>
            </w14:solidFill>
          </w14:textFill>
        </w:rPr>
        <w:t>术语定义、</w:t>
      </w:r>
      <w:bookmarkEnd w:id="0"/>
      <w:bookmarkEnd w:id="1"/>
      <w:r>
        <w:rPr>
          <w:rFonts w:hint="eastAsia"/>
        </w:rPr>
        <w:t>基本要求、禁忌证、施术前准备、施术、注意事项</w:t>
      </w:r>
      <w:r>
        <w:rPr>
          <w:rFonts w:hint="eastAsia" w:ascii="仿宋_GB2312" w:hAnsi="宋体"/>
          <w:color w:val="000000" w:themeColor="text1"/>
          <w:szCs w:val="28"/>
          <w14:textFill>
            <w14:solidFill>
              <w14:schemeClr w14:val="tx1"/>
            </w14:solidFill>
          </w14:textFill>
        </w:rPr>
        <w:t>。</w:t>
      </w:r>
    </w:p>
    <w:p w14:paraId="228F3704">
      <w:pPr>
        <w:spacing w:line="560" w:lineRule="exact"/>
        <w:ind w:firstLine="643"/>
        <w:rPr>
          <w:rFonts w:ascii="楷体" w:hAnsi="楷体" w:eastAsia="楷体" w:cs="仿宋_GB2312"/>
          <w:b/>
          <w:szCs w:val="28"/>
        </w:rPr>
      </w:pPr>
      <w:r>
        <w:rPr>
          <w:rFonts w:hint="eastAsia" w:ascii="楷体" w:hAnsi="楷体" w:eastAsia="楷体" w:cs="仿宋_GB2312"/>
          <w:b/>
          <w:szCs w:val="28"/>
        </w:rPr>
        <w:t>（四）调研及形成草案、征求意见稿</w:t>
      </w:r>
    </w:p>
    <w:p w14:paraId="3962DC26">
      <w:pPr>
        <w:ind w:firstLine="640"/>
        <w:rPr>
          <w:rFonts w:ascii="仿宋_GB2312" w:hAnsi="宋体"/>
          <w:szCs w:val="28"/>
        </w:rPr>
      </w:pPr>
      <w:r>
        <w:rPr>
          <w:rFonts w:hint="eastAsia" w:ascii="仿宋_GB2312" w:hAnsi="宋体"/>
          <w:szCs w:val="28"/>
        </w:rPr>
        <w:t>2026年1月，标准起草工作小组进行了广泛调研工作，查阅了大量的国内外文献资料，对药棒循经推拿法治疗缺血性中风偏瘫技术的前人研究成果进行系统总结。形成了标准的基本构架，对主要内容进行了讨论并对项目的工作进行了部署和安排。</w:t>
      </w:r>
    </w:p>
    <w:p w14:paraId="7899F9C2">
      <w:pPr>
        <w:ind w:firstLine="640"/>
        <w:rPr>
          <w:rFonts w:ascii="仿宋_GB2312" w:hAnsi="宋体"/>
          <w:szCs w:val="28"/>
        </w:rPr>
      </w:pPr>
      <w:r>
        <w:rPr>
          <w:rFonts w:hint="eastAsia" w:ascii="仿宋_GB2312" w:hAnsi="宋体"/>
          <w:szCs w:val="28"/>
        </w:rPr>
        <w:t>2026年2月，在前期工作的基础之上，通过理清逻辑脉络，整合已有的参考资料中有关药棒循经推拿法治疗缺血性中风偏瘫技术要求，并结合药棒循经推拿法治疗缺血性中风偏瘫技术实际要求的基础上，按照简化、统一等原则编制完成团体标准《药棒循经推拿法治疗缺血性中风偏瘫技术操作规范》（草案）。</w:t>
      </w:r>
    </w:p>
    <w:p w14:paraId="6C4E8FC7">
      <w:pPr>
        <w:autoSpaceDE w:val="0"/>
        <w:autoSpaceDN w:val="0"/>
        <w:adjustRightInd w:val="0"/>
        <w:spacing w:line="600" w:lineRule="exact"/>
        <w:ind w:firstLine="640"/>
        <w:rPr>
          <w:rFonts w:hint="eastAsia" w:ascii="仿宋_GB2312" w:hAnsi="宋体"/>
          <w:szCs w:val="28"/>
        </w:rPr>
      </w:pPr>
      <w:r>
        <w:rPr>
          <w:rFonts w:hint="eastAsia" w:ascii="仿宋_GB2312" w:hAnsi="宋体"/>
          <w:szCs w:val="28"/>
        </w:rPr>
        <w:t>2026年3月，标准起草工作组召集</w:t>
      </w:r>
      <w:r>
        <w:rPr>
          <w:rFonts w:hint="eastAsia"/>
          <w:szCs w:val="21"/>
        </w:rPr>
        <w:t>广西中医药大学附属瑞康医院、广西中医药大学第一附属医院、桂林市中医医院、梧州市中医医院等</w:t>
      </w:r>
      <w:r>
        <w:rPr>
          <w:rFonts w:ascii="仿宋_GB2312" w:hAnsi="宋体"/>
          <w:szCs w:val="28"/>
        </w:rPr>
        <w:t>相关单位进行调研</w:t>
      </w:r>
      <w:r>
        <w:rPr>
          <w:rFonts w:hint="eastAsia" w:ascii="仿宋_GB2312" w:hAnsi="宋体"/>
          <w:szCs w:val="28"/>
        </w:rPr>
        <w:t>讨论</w:t>
      </w:r>
      <w:r>
        <w:rPr>
          <w:rFonts w:ascii="仿宋_GB2312" w:hAnsi="宋体"/>
          <w:szCs w:val="28"/>
        </w:rPr>
        <w:t>，</w:t>
      </w:r>
      <w:r>
        <w:rPr>
          <w:rFonts w:hint="eastAsia" w:ascii="仿宋_GB2312" w:hAnsi="宋体"/>
          <w:szCs w:val="28"/>
        </w:rPr>
        <w:t>并实际征求意见，通过收集反馈了大量意见，标准编制工作组多次召开会议，对标准草案进行了反复修改和研究讨论。进一步讨论完善标准草案，形成团体标准《药棒循经推拿法治疗缺血性中风偏瘫技术操作规范》（征求意见稿）和（征求意见稿）编制说明。</w:t>
      </w:r>
    </w:p>
    <w:p w14:paraId="36243B39">
      <w:pPr>
        <w:ind w:firstLine="0" w:firstLineChars="0"/>
        <w:rPr>
          <w:rFonts w:hint="eastAsia"/>
        </w:rPr>
      </w:pPr>
      <w:r>
        <w:drawing>
          <wp:inline distT="0" distB="0" distL="0" distR="0">
            <wp:extent cx="2766695" cy="2073275"/>
            <wp:effectExtent l="0" t="0" r="0" b="3175"/>
            <wp:docPr id="2" name="图片 2" descr="D:\我的文档\xwechat_files\wxid_v3j52f42taun22_f98f\temp\RWTemp\2026-03\2a3c97ee54a66f738229fc1459a17f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我的文档\xwechat_files\wxid_v3j52f42taun22_f98f\temp\RWTemp\2026-03\2a3c97ee54a66f738229fc1459a17f8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71334" cy="2077145"/>
                    </a:xfrm>
                    <a:prstGeom prst="rect">
                      <a:avLst/>
                    </a:prstGeom>
                    <a:noFill/>
                    <a:ln>
                      <a:noFill/>
                    </a:ln>
                  </pic:spPr>
                </pic:pic>
              </a:graphicData>
            </a:graphic>
          </wp:inline>
        </w:drawing>
      </w:r>
      <w:r>
        <w:drawing>
          <wp:inline distT="0" distB="0" distL="0" distR="0">
            <wp:extent cx="2766695" cy="2075180"/>
            <wp:effectExtent l="0" t="0" r="0" b="1270"/>
            <wp:docPr id="1" name="图片 1" descr="D:\我的文档\xwechat_files\wxid_v3j52f42taun22_f98f\temp\RWTemp\2026-03\a1819a92e2aed63eb6069691c7492a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我的文档\xwechat_files\wxid_v3j52f42taun22_f98f\temp\RWTemp\2026-03\a1819a92e2aed63eb6069691c7492a5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769119" cy="2076921"/>
                    </a:xfrm>
                    <a:prstGeom prst="rect">
                      <a:avLst/>
                    </a:prstGeom>
                    <a:noFill/>
                    <a:ln>
                      <a:noFill/>
                    </a:ln>
                  </pic:spPr>
                </pic:pic>
              </a:graphicData>
            </a:graphic>
          </wp:inline>
        </w:drawing>
      </w:r>
    </w:p>
    <w:p w14:paraId="6B79D628">
      <w:pPr>
        <w:ind w:firstLine="0" w:firstLineChars="0"/>
        <w:jc w:val="center"/>
      </w:pPr>
      <w:r>
        <w:rPr>
          <w:rFonts w:hint="eastAsia"/>
        </w:rPr>
        <w:t>调研讨论图片</w:t>
      </w:r>
    </w:p>
    <w:p w14:paraId="2024C83F">
      <w:pPr>
        <w:autoSpaceDE w:val="0"/>
        <w:autoSpaceDN w:val="0"/>
        <w:adjustRightInd w:val="0"/>
        <w:ind w:firstLine="640"/>
        <w:jc w:val="left"/>
        <w:rPr>
          <w:rFonts w:eastAsia="黑体"/>
          <w:bCs/>
          <w:szCs w:val="32"/>
        </w:rPr>
      </w:pPr>
      <w:bookmarkStart w:id="2" w:name="_Toc526940083"/>
      <w:r>
        <w:rPr>
          <w:rFonts w:eastAsia="黑体"/>
          <w:bCs/>
          <w:szCs w:val="32"/>
        </w:rPr>
        <w:t>四、</w:t>
      </w:r>
      <w:bookmarkEnd w:id="2"/>
      <w:r>
        <w:rPr>
          <w:rFonts w:eastAsia="黑体"/>
          <w:bCs/>
          <w:szCs w:val="32"/>
        </w:rPr>
        <w:t>制定标准的原则和依据，与现行法律、法规的关系，与有关国家标准、行业标准的协调情况</w:t>
      </w:r>
    </w:p>
    <w:p w14:paraId="30241D01">
      <w:pPr>
        <w:pStyle w:val="12"/>
        <w:spacing w:line="560" w:lineRule="exact"/>
        <w:ind w:firstLine="0" w:firstLineChars="0"/>
        <w:outlineLvl w:val="1"/>
        <w:rPr>
          <w:rFonts w:ascii="Times New Roman" w:eastAsia="仿宋"/>
          <w:b/>
          <w:bCs/>
          <w:sz w:val="32"/>
          <w:szCs w:val="32"/>
        </w:rPr>
      </w:pPr>
      <w:r>
        <w:rPr>
          <w:rFonts w:ascii="Times New Roman" w:eastAsia="仿宋"/>
          <w:b/>
          <w:bCs/>
          <w:sz w:val="32"/>
          <w:szCs w:val="32"/>
        </w:rPr>
        <w:t>（一）编制原则</w:t>
      </w:r>
    </w:p>
    <w:p w14:paraId="37E2EF35">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hint="eastAsia" w:eastAsia="仿宋"/>
          <w:b/>
          <w:bCs/>
          <w:kern w:val="0"/>
          <w:szCs w:val="32"/>
        </w:rPr>
        <w:t>．</w:t>
      </w:r>
      <w:r>
        <w:rPr>
          <w:rFonts w:eastAsia="仿宋"/>
          <w:b/>
          <w:bCs/>
          <w:kern w:val="0"/>
          <w:szCs w:val="32"/>
        </w:rPr>
        <w:t>实用性原则</w:t>
      </w:r>
    </w:p>
    <w:p w14:paraId="3AB39EF9">
      <w:pPr>
        <w:ind w:firstLine="640"/>
        <w:rPr>
          <w:rFonts w:ascii="仿宋_GB2312" w:hAnsi="宋体"/>
          <w:szCs w:val="28"/>
        </w:rPr>
      </w:pPr>
      <w:r>
        <w:rPr>
          <w:rFonts w:hint="eastAsia" w:ascii="仿宋_GB2312" w:hAnsi="宋体"/>
          <w:szCs w:val="28"/>
        </w:rPr>
        <w:t>本文件是在充分收集相关资料和文献，分析药棒循经推拿法治疗缺血性中风偏瘫技术当前现状，在现有相关药棒循经推拿法治疗缺血性中风偏瘫技术要求的基础上，结合编制单位</w:t>
      </w:r>
      <w:r>
        <w:rPr>
          <w:rFonts w:ascii="仿宋_GB2312" w:hAnsi="宋体"/>
          <w:szCs w:val="28"/>
        </w:rPr>
        <w:t>多年</w:t>
      </w:r>
      <w:r>
        <w:rPr>
          <w:rFonts w:hint="eastAsia" w:ascii="仿宋_GB2312" w:hAnsi="宋体"/>
          <w:szCs w:val="28"/>
        </w:rPr>
        <w:t>相关经验而总结起草的，符合当前药棒循经推拿法治疗缺血性中风偏瘫技术发展的方向，具有较强的实用性和可操作性。</w:t>
      </w:r>
    </w:p>
    <w:p w14:paraId="3CC89A58">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rPr>
        <w:t>2．协调性原则</w:t>
      </w:r>
    </w:p>
    <w:p w14:paraId="075A1B6D">
      <w:pPr>
        <w:ind w:firstLine="640"/>
        <w:rPr>
          <w:rFonts w:ascii="仿宋_GB2312" w:hAnsi="宋体"/>
          <w:szCs w:val="28"/>
        </w:rPr>
      </w:pPr>
      <w:r>
        <w:rPr>
          <w:rFonts w:hint="eastAsia" w:ascii="仿宋_GB2312" w:hAnsi="宋体"/>
          <w:szCs w:val="28"/>
        </w:rPr>
        <w:t>本文件编写过程中注意了与药棒循经推拿法治疗缺血性中风偏瘫技术相关法律法规的协调问题，在内容上与现行法律法规、标准协调一致。</w:t>
      </w:r>
    </w:p>
    <w:p w14:paraId="0DDB1CD8">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rPr>
        <w:t>3．规范性原则</w:t>
      </w:r>
    </w:p>
    <w:p w14:paraId="19134EED">
      <w:pPr>
        <w:ind w:firstLine="640"/>
        <w:rPr>
          <w:rFonts w:ascii="仿宋_GB2312" w:hAnsi="宋体"/>
          <w:szCs w:val="28"/>
        </w:rPr>
      </w:pPr>
      <w:r>
        <w:rPr>
          <w:rFonts w:hint="eastAsia" w:ascii="仿宋_GB2312" w:hAnsi="宋体"/>
          <w:szCs w:val="28"/>
        </w:rPr>
        <w:t>本文件严格参照GB/T 1.1—2020《标准化工作导则  第1部分：标准化文件的结构和起草规则》编写本标准的内容，保证标准的编写质量。</w:t>
      </w:r>
    </w:p>
    <w:p w14:paraId="36B61F81">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rPr>
        <w:t>4．前瞻性原则</w:t>
      </w:r>
    </w:p>
    <w:p w14:paraId="401F8172">
      <w:pPr>
        <w:ind w:firstLine="640"/>
        <w:rPr>
          <w:rFonts w:ascii="仿宋_GB2312" w:hAnsi="宋体"/>
          <w:szCs w:val="28"/>
        </w:rPr>
      </w:pPr>
      <w:r>
        <w:rPr>
          <w:rFonts w:hint="eastAsia" w:ascii="仿宋_GB2312" w:hAnsi="宋体"/>
          <w:szCs w:val="28"/>
        </w:rPr>
        <w:t>本文件在兼顾当前区内药棒循经推拿法治疗缺血性中风偏瘫技术现实情况的同时，还考虑到了药棒循经推拿法治疗缺血性中风偏瘫技术快速发展的趋势和需要，在标准中体现了个别特色性、前瞻性和先进性条款，作为对药棒循经推拿法治疗缺血性中风偏瘫技术的指导。</w:t>
      </w:r>
    </w:p>
    <w:p w14:paraId="7841D25E">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14:paraId="1686C180">
      <w:pPr>
        <w:ind w:firstLine="640"/>
        <w:rPr>
          <w:rFonts w:ascii="仿宋_GB2312" w:hAnsi="宋体"/>
          <w:szCs w:val="28"/>
        </w:rPr>
      </w:pPr>
      <w:r>
        <w:rPr>
          <w:rFonts w:ascii="仿宋_GB2312" w:hAnsi="宋体"/>
          <w:szCs w:val="28"/>
        </w:rPr>
        <w:t>本标准严格按照GB/T 1.1—2020《标准化工作导则  第1部分：标准化文件的结构和起草规则》的规则起草，标准主要内容参考相关标准文件并结合起草单位多年的</w:t>
      </w:r>
      <w:r>
        <w:rPr>
          <w:rFonts w:hint="eastAsia" w:ascii="仿宋_GB2312" w:hAnsi="宋体"/>
          <w:szCs w:val="28"/>
        </w:rPr>
        <w:t>相关</w:t>
      </w:r>
      <w:r>
        <w:rPr>
          <w:rFonts w:ascii="仿宋_GB2312" w:hAnsi="宋体"/>
          <w:szCs w:val="28"/>
        </w:rPr>
        <w:t>经验</w:t>
      </w:r>
      <w:r>
        <w:rPr>
          <w:rFonts w:hint="eastAsia" w:ascii="仿宋_GB2312" w:hAnsi="宋体"/>
          <w:szCs w:val="28"/>
        </w:rPr>
        <w:t>和实践</w:t>
      </w:r>
      <w:r>
        <w:rPr>
          <w:rFonts w:ascii="仿宋_GB2312" w:hAnsi="宋体"/>
          <w:szCs w:val="28"/>
        </w:rPr>
        <w:t>验证情况总结进行起草。</w:t>
      </w:r>
    </w:p>
    <w:p w14:paraId="0A38A620">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14:paraId="5A35B2F9">
      <w:pPr>
        <w:ind w:firstLine="640"/>
        <w:rPr>
          <w:rFonts w:ascii="仿宋_GB2312" w:hAnsi="宋体"/>
          <w:szCs w:val="28"/>
        </w:rPr>
      </w:pPr>
      <w:r>
        <w:rPr>
          <w:rFonts w:hint="eastAsia" w:ascii="仿宋_GB2312" w:hAnsi="宋体"/>
          <w:szCs w:val="28"/>
        </w:rPr>
        <w:t>本编制工作组承诺本标准内容与各项指标不违反相关法律法规要求，且不低于国家强制性标准、推荐性国家标准和行业标准要求。</w:t>
      </w:r>
    </w:p>
    <w:p w14:paraId="22579E18">
      <w:pPr>
        <w:ind w:firstLine="640"/>
        <w:rPr>
          <w:rFonts w:ascii="仿宋_GB2312" w:hAnsi="宋体"/>
          <w:szCs w:val="28"/>
        </w:rPr>
      </w:pPr>
      <w:r>
        <w:rPr>
          <w:rFonts w:hint="eastAsia" w:ascii="仿宋_GB2312" w:hAnsi="宋体"/>
          <w:szCs w:val="28"/>
        </w:rPr>
        <w:t>经查新，国内没有与药棒循经推拿法治疗缺血性中风偏瘫技术操作有关的标准。</w:t>
      </w:r>
    </w:p>
    <w:p w14:paraId="1D4C2CCC">
      <w:pPr>
        <w:ind w:firstLine="640"/>
        <w:rPr>
          <w:rFonts w:ascii="仿宋_GB2312" w:hAnsi="宋体"/>
          <w:szCs w:val="28"/>
        </w:rPr>
      </w:pPr>
      <w:r>
        <w:rPr>
          <w:rFonts w:hint="eastAsia" w:ascii="仿宋_GB2312" w:hAnsi="宋体"/>
          <w:szCs w:val="28"/>
        </w:rPr>
        <w:t>与“循经推拿”“缺血性中风”“中风偏瘫”相关的标准有：DB45/T 2236-2020  《扁免崩（中风偏瘫）瑶浴技术操作规范》、T/GXAS 557-2023《中风偏瘫痉挛状态壮医经筋挑刺疗法临床操作技术规范》、T/GXAS 868-2024《缺血性中风中西医结合诊疗规范》、T/GXAS 874-2024《缺血性中风（脑卒中）中医康复规范》；及已立项团标：《2024-0113 缺血性中风诊疗规范》和《2024-3908 缺血性中风急性期常见并发症中西医结合治疗规范》。</w:t>
      </w:r>
    </w:p>
    <w:p w14:paraId="399AD702">
      <w:pPr>
        <w:ind w:firstLine="640"/>
        <w:rPr>
          <w:rFonts w:ascii="仿宋_GB2312" w:hAnsi="宋体"/>
          <w:szCs w:val="28"/>
        </w:rPr>
      </w:pPr>
      <w:r>
        <w:rPr>
          <w:rFonts w:hint="eastAsia" w:ascii="仿宋_GB2312" w:hAnsi="宋体"/>
          <w:szCs w:val="28"/>
        </w:rPr>
        <w:t>目前已有标准是针对瑶浴技术、壮医经筋挑刺疗法治疗中风偏瘫，以及缺血性中风诊疗或中西医结合诊疗，均未涉及药棒循经推拿法治疗缺血性中风偏瘫技术，而药棒循经推拿是南宁市中医医院脑病科创新性研发的设备和技术，是使用特制的药棒以及药袋，根据经络循行的方向在人体肌表做来回往复的推拿运动，从而刺激人体的经络、腧穴、宗筋及脏腑，具有行气活血、祛风通络、缓急止痛、止痉的功效，进而达到治疗疾病、促进机体功能康复的一种中医外治疗法，创新性的结合了中药烫疗、推拿按摩、经络治疗、点穴治疗等中医传统治疗基础上的方法，结合经络理论创立的一种治疗中风偏瘫的外治疗法，具有“简、便、廉、验”的特点，疗效可靠，副作用小，因此制定团体标准具有较大创新性。</w:t>
      </w:r>
    </w:p>
    <w:p w14:paraId="5D753E12">
      <w:pPr>
        <w:autoSpaceDE w:val="0"/>
        <w:autoSpaceDN w:val="0"/>
        <w:adjustRightInd w:val="0"/>
        <w:spacing w:line="560" w:lineRule="exact"/>
        <w:ind w:firstLine="640"/>
        <w:jc w:val="left"/>
        <w:rPr>
          <w:rFonts w:ascii="黑体" w:hAnsi="黑体" w:eastAsia="黑体" w:cs="仿宋_GB2312"/>
          <w:szCs w:val="32"/>
        </w:rPr>
      </w:pPr>
      <w:bookmarkStart w:id="3" w:name="_Toc526940084"/>
      <w:r>
        <w:rPr>
          <w:rFonts w:hint="eastAsia" w:ascii="黑体" w:hAnsi="黑体" w:eastAsia="黑体" w:cs="仿宋_GB2312"/>
          <w:szCs w:val="32"/>
        </w:rPr>
        <w:t>五、</w:t>
      </w:r>
      <w:bookmarkEnd w:id="3"/>
      <w:r>
        <w:rPr>
          <w:rFonts w:hint="eastAsia" w:ascii="黑体" w:hAnsi="黑体" w:eastAsia="黑体" w:cs="仿宋_GB2312"/>
          <w:szCs w:val="32"/>
        </w:rPr>
        <w:t>主要条款的说明</w:t>
      </w:r>
    </w:p>
    <w:p w14:paraId="269EEE91">
      <w:pPr>
        <w:ind w:firstLine="640"/>
        <w:rPr>
          <w:rFonts w:hint="eastAsia" w:ascii="仿宋_GB2312" w:hAnsi="宋体"/>
          <w:szCs w:val="32"/>
          <w:lang w:val="zh-CN"/>
        </w:rPr>
      </w:pPr>
      <w:r>
        <w:rPr>
          <w:rFonts w:hint="eastAsia" w:ascii="仿宋_GB2312" w:hAnsi="宋体"/>
          <w:szCs w:val="32"/>
          <w:lang w:val="zh-CN"/>
        </w:rPr>
        <w:t>团体标准《药棒循经推拿法治疗缺血性中风偏瘫技术操作规范》的主要章节内容包括</w:t>
      </w:r>
      <w:r>
        <w:rPr>
          <w:rFonts w:hint="eastAsia" w:ascii="仿宋_GB2312" w:hAnsi="宋体"/>
          <w:color w:val="000000" w:themeColor="text1"/>
          <w:szCs w:val="28"/>
          <w14:textFill>
            <w14:solidFill>
              <w14:schemeClr w14:val="tx1"/>
            </w14:solidFill>
          </w14:textFill>
        </w:rPr>
        <w:t>术语定义、</w:t>
      </w:r>
      <w:r>
        <w:rPr>
          <w:rFonts w:hint="eastAsia"/>
        </w:rPr>
        <w:t>基本要求、施术前准备、施术、注意事项</w:t>
      </w:r>
      <w:r>
        <w:rPr>
          <w:rFonts w:hint="eastAsia" w:ascii="仿宋_GB2312" w:hAnsi="宋体"/>
          <w:szCs w:val="32"/>
          <w:lang w:val="zh-CN"/>
        </w:rPr>
        <w:t>。本文件主要内容及依据来源说明如下：</w:t>
      </w:r>
    </w:p>
    <w:p w14:paraId="71D70502">
      <w:pPr>
        <w:autoSpaceDE w:val="0"/>
        <w:autoSpaceDN w:val="0"/>
        <w:adjustRightInd w:val="0"/>
        <w:spacing w:line="560" w:lineRule="exact"/>
        <w:ind w:firstLine="640"/>
        <w:rPr>
          <w:rFonts w:ascii="仿宋_GB2312" w:hAnsi="黑体" w:cs="仿宋_GB2312"/>
          <w:szCs w:val="32"/>
        </w:rPr>
      </w:pPr>
      <w:r>
        <w:rPr>
          <w:rFonts w:hint="eastAsia" w:ascii="仿宋_GB2312" w:hAnsi="黑体" w:cs="仿宋_GB2312"/>
          <w:szCs w:val="32"/>
        </w:rPr>
        <w:t>在古人研究的基础之上，精益求精，自2007年南宁市中医院经过数10年不断地摸索及临床实践，在中药烫疗、推拿按摩、经络治疗、点穴治疗等中医传统治疗方法的基础上结合经络理论创立了“药棒循经推拿法”，并应用于临床治疗缺血性卒中，疗效显著，操作可行，从而形成了治疗中风偏瘫的特色疗法—药棒循经推拿法，2009年在临床前期工作的基础上进行了“药棒循经推按法治疗中风偏瘫的临床研究”的课题设计，并于2009年5月在广西壮族自治区中医药中管局中医药科技专项立项，经过近3年的研究，研制了药棒循经推拿法所需的药棒和配套使用的药袋。该疗法通过调节经络的气血运行，以及通过药物外治、温热烫熨、推拿按摩等多重作用，以达到行气活血、祛风通络、缓急止痛的功效，对中风偏瘫治疗达到良好的效果。本标准主要依据起草单位前期的临床实践经验进行总结明确。</w:t>
      </w:r>
    </w:p>
    <w:p w14:paraId="4F4329EC">
      <w:pPr>
        <w:autoSpaceDE w:val="0"/>
        <w:autoSpaceDN w:val="0"/>
        <w:adjustRightInd w:val="0"/>
        <w:spacing w:line="560" w:lineRule="exact"/>
        <w:ind w:firstLine="640" w:firstLineChars="0"/>
        <w:jc w:val="left"/>
        <w:rPr>
          <w:rFonts w:ascii="黑体" w:hAnsi="黑体" w:eastAsia="黑体" w:cs="仿宋_GB2312"/>
          <w:szCs w:val="32"/>
        </w:rPr>
      </w:pPr>
      <w:bookmarkStart w:id="4" w:name="_Toc526940086"/>
      <w:r>
        <w:rPr>
          <w:rFonts w:hint="eastAsia" w:ascii="黑体" w:hAnsi="黑体" w:eastAsia="黑体" w:cs="仿宋_GB2312"/>
          <w:szCs w:val="32"/>
        </w:rPr>
        <w:t>（一）术语和定义</w:t>
      </w:r>
    </w:p>
    <w:p w14:paraId="5D32066F">
      <w:pPr>
        <w:ind w:firstLine="643"/>
        <w:rPr>
          <w:rFonts w:ascii="仿宋_GB2312" w:hAnsi="宋体"/>
          <w:szCs w:val="32"/>
        </w:rPr>
      </w:pPr>
      <w:r>
        <w:rPr>
          <w:rFonts w:hint="eastAsia" w:ascii="仿宋_GB2312" w:hAnsi="宋体"/>
          <w:b/>
          <w:szCs w:val="32"/>
        </w:rPr>
        <w:t>药棒循经推拿法：</w:t>
      </w:r>
      <w:r>
        <w:rPr>
          <w:rFonts w:hint="eastAsia" w:ascii="仿宋_GB2312" w:hAnsi="宋体"/>
          <w:szCs w:val="32"/>
        </w:rPr>
        <w:t>首先，药棒疗法的历史可追溯至清代《医宗金鉴·正骨心法要旨》，该书记载了一种名为“振挺”的治疗工具，并解释其作用原理：“盖受伤之处，气血凝结，疼痛肿硬，用此梃微微振击其上下四旁，使气血流通，得以四散，则疼痛渐减，肿硬渐消也”。现代“药棒循经推拿法”继承了这一古典外治方法的核心思想，将“振击”发展为“循经推拿”，将木棒改进为塑胶药棒，实现了传统技术与现代工艺的结合。本疗法主要以中医经络理论为核心理论依据，强调“循经取穴、以痛为输、远近配穴”的选穴原则。在操作上，依据《灵枢·经筋》所述“以痛为腧”的取穴原则，并结合十二经脉（手三阴经、手三阳经、足三阴经、足三阳经）的循行路线，通过刺激经络腧穴达到“行气活血、祛风通络、缓急止痛、止痉”的功效。药棒工具的设计（轴承、滚筒、滑轮）亦体现了现代工程学对传统推拿手法的技术优化。因此，结合以上文献及理论支撑，将其定义总结为：</w:t>
      </w:r>
      <w:r>
        <w:rPr>
          <w:rFonts w:hint="eastAsia"/>
          <w:color w:val="000000" w:themeColor="text1"/>
          <w14:textFill>
            <w14:solidFill>
              <w14:schemeClr w14:val="tx1"/>
            </w14:solidFill>
          </w14:textFill>
        </w:rPr>
        <w:t>使用特制的药棒以及药袋根据经络循行的方向在人体肌表做来回往复的推拿运动，从而刺激人体的经络、腧穴、宗筋及脏腑，具有行气活血、祛风通络、缓急止痛、止痉的功效，进而达到治疗疾病、促进机体功能康复的一种中医外治疗法。</w:t>
      </w:r>
    </w:p>
    <w:p w14:paraId="219815C4">
      <w:pPr>
        <w:ind w:firstLine="640"/>
        <w:rPr>
          <w:rFonts w:ascii="仿宋_GB2312" w:hAnsi="宋体"/>
          <w:szCs w:val="32"/>
        </w:rPr>
      </w:pPr>
      <w:r>
        <w:rPr>
          <w:rFonts w:hint="eastAsia" w:ascii="黑体" w:hAnsi="黑体" w:eastAsia="黑体" w:cs="仿宋_GB2312"/>
          <w:szCs w:val="32"/>
        </w:rPr>
        <w:t>（二）基本要求</w:t>
      </w:r>
    </w:p>
    <w:p w14:paraId="3E34E4E9">
      <w:pPr>
        <w:ind w:firstLine="640"/>
        <w:rPr>
          <w:rFonts w:ascii="仿宋_GB2312" w:hAnsi="宋体"/>
          <w:szCs w:val="32"/>
        </w:rPr>
      </w:pPr>
      <w:r>
        <w:rPr>
          <w:rFonts w:hint="eastAsia" w:ascii="仿宋_GB2312" w:hAnsi="宋体"/>
          <w:szCs w:val="32"/>
        </w:rPr>
        <w:t>主要规定了人员、环境、用具的要求，主要依据中医技术操作共性规律及临床实践经验进行针对性调整。</w:t>
      </w:r>
    </w:p>
    <w:p w14:paraId="6310A737">
      <w:pPr>
        <w:ind w:firstLine="640"/>
        <w:rPr>
          <w:rFonts w:ascii="仿宋_GB2312" w:hAnsi="宋体"/>
          <w:szCs w:val="32"/>
        </w:rPr>
      </w:pPr>
      <w:r>
        <w:rPr>
          <w:rFonts w:hint="eastAsia" w:ascii="仿宋_GB2312" w:hAnsi="宋体"/>
          <w:szCs w:val="32"/>
        </w:rPr>
        <w:t>人员：规定了具有一定的中医经络理论知识，经相关培训并考核合格者。因为本疗法以“循经推拿”为核心，若操作者对经络走向、腧穴定位、补泻手法缺乏系统认知，不仅难以达到“行气活血、祛风通络”的疗效，还可能因操作失当引发不良事件（如加重痉挛、皮肤损伤等）。明确人员资质，是保障技术规范实施、防范操作风险的关键前提。</w:t>
      </w:r>
    </w:p>
    <w:p w14:paraId="676D63F0">
      <w:pPr>
        <w:ind w:firstLine="640"/>
        <w:rPr>
          <w:rFonts w:ascii="Segoe UI" w:hAnsi="Segoe UI" w:cs="Segoe UI"/>
          <w:color w:val="0F1115"/>
          <w:shd w:val="clear" w:color="auto" w:fill="FFFFFF"/>
        </w:rPr>
      </w:pPr>
      <w:r>
        <w:rPr>
          <w:rFonts w:hint="eastAsia" w:ascii="仿宋_GB2312" w:hAnsi="宋体"/>
          <w:szCs w:val="32"/>
        </w:rPr>
        <w:t>环境：规定了</w:t>
      </w:r>
      <w:r>
        <w:rPr>
          <w:rFonts w:hint="eastAsia" w:ascii="Segoe UI" w:hAnsi="Segoe UI" w:cs="Segoe UI"/>
          <w:color w:val="0F1115"/>
          <w:shd w:val="clear" w:color="auto" w:fill="FFFFFF"/>
        </w:rPr>
        <w:t>环境清洁卫生，室内安静，温度26 ℃～28 ℃为宜，避免吹风受凉。医院消毒应符合GB 15982、WS/T 367及WS/T 512的规定</w:t>
      </w:r>
      <w:r>
        <w:rPr>
          <w:rFonts w:ascii="Segoe UI" w:hAnsi="Segoe UI" w:cs="Segoe UI"/>
          <w:color w:val="0F1115"/>
          <w:shd w:val="clear" w:color="auto" w:fill="FFFFFF"/>
        </w:rPr>
        <w:t>。</w:t>
      </w:r>
      <w:r>
        <w:rPr>
          <w:rFonts w:hint="eastAsia" w:ascii="Segoe UI" w:hAnsi="Segoe UI" w:cs="Segoe UI"/>
          <w:color w:val="0F1115"/>
          <w:shd w:val="clear" w:color="auto" w:fill="FFFFFF"/>
        </w:rPr>
        <w:t>本疗法涉及药袋加热及患者裸露治疗部位，环境温度过低易致寒邪入侵、肌肉紧张，影响推拿效果；温度过高则增加患者不适感。同时，作为侵入性较小的中医外治技术，仍需严格执行消毒规范，防止交叉感染。起草单位临床实践中发现，26 ℃～28 ℃的温度区间既能保证患者舒适度，又可维持药袋温热效应的稳定性。</w:t>
      </w:r>
    </w:p>
    <w:p w14:paraId="14680F1F">
      <w:pPr>
        <w:ind w:firstLine="640"/>
        <w:rPr>
          <w:rFonts w:ascii="仿宋_GB2312" w:hAnsi="宋体"/>
          <w:szCs w:val="32"/>
        </w:rPr>
      </w:pPr>
      <w:r>
        <w:rPr>
          <w:rFonts w:hint="eastAsia" w:ascii="仿宋_GB2312" w:hAnsi="宋体"/>
          <w:szCs w:val="32"/>
        </w:rPr>
        <w:t>用具：主要结合操作过程中用到的物品及用具分别列出。</w:t>
      </w:r>
    </w:p>
    <w:p w14:paraId="6B6F0C92">
      <w:pPr>
        <w:autoSpaceDE w:val="0"/>
        <w:autoSpaceDN w:val="0"/>
        <w:adjustRightInd w:val="0"/>
        <w:spacing w:line="560" w:lineRule="exact"/>
        <w:ind w:firstLine="640"/>
        <w:rPr>
          <w:rFonts w:ascii="黑体" w:hAnsi="黑体" w:eastAsia="黑体" w:cs="仿宋_GB2312"/>
          <w:szCs w:val="32"/>
        </w:rPr>
      </w:pPr>
      <w:r>
        <w:rPr>
          <w:rFonts w:hint="eastAsia" w:ascii="黑体" w:hAnsi="黑体" w:eastAsia="黑体" w:cs="仿宋_GB2312"/>
          <w:szCs w:val="32"/>
        </w:rPr>
        <w:t>（四）施术前准备</w:t>
      </w:r>
    </w:p>
    <w:p w14:paraId="601FB850">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1、评估</w:t>
      </w:r>
    </w:p>
    <w:p w14:paraId="75DF4B31">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评估是保障治疗安全与疗效的第一道关口。明确禁忌证可有效避免严重不良反应（如过敏、出血、肿瘤扩散等）；区分硬瘫（痉挛性瘫痪）与软瘫（弛缓性瘫痪）则直接决定后续药物配伍与推拿手法的选择，体现了中医“辨证论治”的核心原则。因此，应评估患者是否有禁忌证（药物过敏、皮肤破损、严重心血管疾病、出血倾向、恶性肿瘤等）；评估缺血性中风偏瘫的阶段（硬瘫或软瘫）。中医辨证论治理论、现代康复医学分期理念及临床安全性管理要求。中医经典《素问》强调“辨证求因”，区分硬瘫（痉挛性）与软瘫（弛缓性）源于对中风后“痉证”与“痿证”不同病机的认识，直接指导后续“熄风止痉”与“益气活血”的差异化治疗。禁忌证主要结合起草单位十余年临床经验总结，明确排除药物过敏、皮肤破损、出血倾向、恶性肿瘤等情形，遵循中医“勿犯虚虚实实”的治则。</w:t>
      </w:r>
    </w:p>
    <w:p w14:paraId="320649F1">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2、宣教</w:t>
      </w:r>
    </w:p>
    <w:p w14:paraId="673196F3">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宣教是保障患者知情同意、减少操作风险、提升依从性的关键环节。明确正常反应可缓解患者紧张情绪；强调及时反馈异常情况则有助于操作者，第一时间调整手法或终止操作，避免烫伤、皮肤损伤等不良事件。因此规定告知患者治疗目的、可能出现的正常反应（酸胀、温热、针刺感）及异常情况（疼痛加剧、皮肤红肿水泡）；强调患者应保持放松、配合操作、不适及时反馈。</w:t>
      </w:r>
    </w:p>
    <w:p w14:paraId="3E1DBE69">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3、药物准备</w:t>
      </w:r>
    </w:p>
    <w:p w14:paraId="453DD626">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药棒循经推拿法是南宁市中医医院首创的一种治疗中风偏瘫的特色疗法，在临床运用中显示出良好的治疗效果，并在此基础上进行的课题项目广西重点研发计划（AB1850009）《药棒循经推按法治疗中风硬瘫规范化研究》对“药棒循经推按法治疗中风硬瘫”进行研究，采用多中心、随机对照的原则，将4家医院入选的中风硬瘫患者300例随机分为对照组、药棒组及优化药棒组，康复训练，药棒组在对照组基础上给予“原药棒循经推按法”治疗；优化药棒组在内科组基础上给予本次“优化的药棒循经推按法”治疗，观察治疗前及治疗后第2、4周三组患者的肌张力Ashworth量表、临床痉挛指数、日常活动能力评分变化。结果：在改善肌张力Ashworth量表、临床痉挛指数、日常活动能力评分等方面，药棒组及优化药棒组、对照组患者的神经功能评估均有不同程度的降低，其中优化药棒组治疗效果明显优于药棒组及对照组（</w:t>
      </w:r>
      <w:r>
        <w:rPr>
          <w:rFonts w:hint="eastAsia" w:ascii="仿宋_GB2312" w:hAnsi="黑体" w:cs="仿宋_GB2312"/>
          <w:i/>
          <w:szCs w:val="32"/>
        </w:rPr>
        <w:t>P</w:t>
      </w:r>
      <w:r>
        <w:rPr>
          <w:rFonts w:hint="eastAsia" w:ascii="仿宋_GB2312" w:hAnsi="黑体" w:cs="仿宋_GB2312"/>
          <w:szCs w:val="32"/>
        </w:rPr>
        <w:t>&lt;0.05），表明优化药棒组在改善中风硬瘫患者的肌张力优于其他两组，充分证明了药棒循经推拿法在治疗缺血性中风偏瘫的重要疗效，前期的科研研究奠定了理论基础及经验总结。</w:t>
      </w:r>
    </w:p>
    <w:p w14:paraId="3327B46C">
      <w:pPr>
        <w:autoSpaceDE w:val="0"/>
        <w:autoSpaceDN w:val="0"/>
        <w:adjustRightInd w:val="0"/>
        <w:spacing w:line="560" w:lineRule="exact"/>
        <w:ind w:firstLine="640"/>
        <w:rPr>
          <w:rFonts w:hint="eastAsia" w:ascii="仿宋_GB2312" w:hAnsi="黑体" w:cs="仿宋_GB2312"/>
          <w:szCs w:val="32"/>
        </w:rPr>
      </w:pPr>
      <w:r>
        <w:rPr>
          <w:rFonts w:hint="eastAsia" w:ascii="Segoe UI" w:hAnsi="Segoe UI" w:cs="Segoe UI"/>
          <w:color w:val="0F1115"/>
          <w:shd w:val="clear" w:color="auto" w:fill="FFFFFF"/>
        </w:rPr>
        <w:t>此外，</w:t>
      </w:r>
      <w:r>
        <w:rPr>
          <w:rFonts w:ascii="Segoe UI" w:hAnsi="Segoe UI" w:cs="Segoe UI"/>
          <w:color w:val="0F1115"/>
          <w:shd w:val="clear" w:color="auto" w:fill="FFFFFF"/>
        </w:rPr>
        <w:t>标准起草组</w:t>
      </w:r>
      <w:r>
        <w:rPr>
          <w:rFonts w:hint="eastAsia" w:ascii="Segoe UI" w:hAnsi="Segoe UI" w:cs="Segoe UI"/>
          <w:color w:val="0F1115"/>
          <w:shd w:val="clear" w:color="auto" w:fill="FFFFFF"/>
        </w:rPr>
        <w:t>还</w:t>
      </w:r>
      <w:r>
        <w:rPr>
          <w:rFonts w:ascii="Segoe UI" w:hAnsi="Segoe UI" w:cs="Segoe UI"/>
          <w:color w:val="0F1115"/>
          <w:shd w:val="clear" w:color="auto" w:fill="FFFFFF"/>
        </w:rPr>
        <w:t>对广西地区多家主要中医医院（包括南宁市中医医院、广西中医药大学第二附属医院、广西中医药大学第一附属医院、桂林市中医医院、梧州市中医医院）的临床用药方案进行了调研</w:t>
      </w:r>
      <w:r>
        <w:rPr>
          <w:rFonts w:hint="eastAsia" w:ascii="Segoe UI" w:hAnsi="Segoe UI" w:cs="Segoe UI"/>
          <w:color w:val="0F1115"/>
          <w:shd w:val="clear" w:color="auto" w:fill="FFFFFF"/>
        </w:rPr>
        <w:t>，结果见表1。</w:t>
      </w:r>
    </w:p>
    <w:p w14:paraId="5D6390A0">
      <w:pPr>
        <w:autoSpaceDE w:val="0"/>
        <w:autoSpaceDN w:val="0"/>
        <w:adjustRightInd w:val="0"/>
        <w:spacing w:line="560" w:lineRule="exact"/>
        <w:ind w:firstLine="640"/>
        <w:jc w:val="center"/>
        <w:rPr>
          <w:rFonts w:hint="eastAsia" w:ascii="仿宋_GB2312" w:hAnsi="黑体" w:cs="仿宋_GB2312"/>
          <w:szCs w:val="32"/>
        </w:rPr>
      </w:pPr>
      <w:r>
        <w:rPr>
          <w:rFonts w:hint="eastAsia" w:ascii="仿宋_GB2312" w:hAnsi="黑体" w:cs="仿宋_GB2312"/>
          <w:szCs w:val="32"/>
        </w:rPr>
        <w:t>表1 各医院不同病症治疗药物情况</w:t>
      </w:r>
    </w:p>
    <w:tbl>
      <w:tblPr>
        <w:tblStyle w:val="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52"/>
        <w:gridCol w:w="2972"/>
        <w:gridCol w:w="2802"/>
        <w:gridCol w:w="1088"/>
        <w:gridCol w:w="1360"/>
      </w:tblGrid>
      <w:tr w14:paraId="65C959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19" w:type="pct"/>
            <w:tcBorders>
              <w:top w:val="single" w:color="auto" w:sz="4" w:space="0"/>
              <w:left w:val="single" w:color="auto" w:sz="4" w:space="0"/>
              <w:bottom w:val="single" w:color="auto" w:sz="4" w:space="0"/>
              <w:right w:val="single" w:color="auto" w:sz="4" w:space="0"/>
            </w:tcBorders>
            <w:vAlign w:val="center"/>
          </w:tcPr>
          <w:p w14:paraId="44F776DE">
            <w:pPr>
              <w:ind w:firstLine="0" w:firstLineChars="0"/>
              <w:jc w:val="center"/>
              <w:rPr>
                <w:rFonts w:ascii="Calibri" w:hAnsi="Calibri" w:eastAsia="宋体"/>
                <w:sz w:val="21"/>
                <w:szCs w:val="21"/>
              </w:rPr>
            </w:pPr>
            <w:r>
              <w:rPr>
                <w:rFonts w:hint="eastAsia" w:ascii="宋体" w:hAnsi="宋体"/>
                <w:sz w:val="21"/>
                <w:szCs w:val="21"/>
              </w:rPr>
              <w:t>医院</w:t>
            </w:r>
          </w:p>
        </w:tc>
        <w:tc>
          <w:tcPr>
            <w:tcW w:w="1620" w:type="pct"/>
            <w:tcBorders>
              <w:top w:val="single" w:color="auto" w:sz="4" w:space="0"/>
              <w:left w:val="single" w:color="auto" w:sz="4" w:space="0"/>
              <w:bottom w:val="single" w:color="auto" w:sz="4" w:space="0"/>
              <w:right w:val="single" w:color="auto" w:sz="4" w:space="0"/>
            </w:tcBorders>
            <w:vAlign w:val="center"/>
          </w:tcPr>
          <w:p w14:paraId="037E9DCD">
            <w:pPr>
              <w:ind w:firstLine="0" w:firstLineChars="0"/>
              <w:jc w:val="center"/>
              <w:rPr>
                <w:rFonts w:ascii="Calibri" w:hAnsi="Calibri" w:eastAsia="宋体"/>
                <w:sz w:val="21"/>
                <w:szCs w:val="21"/>
              </w:rPr>
            </w:pPr>
            <w:r>
              <w:rPr>
                <w:rFonts w:hint="eastAsia" w:ascii="宋体" w:hAnsi="宋体"/>
                <w:sz w:val="21"/>
                <w:szCs w:val="21"/>
              </w:rPr>
              <w:t>缺血性中风硬瘫所用药物用量情况</w:t>
            </w:r>
          </w:p>
        </w:tc>
        <w:tc>
          <w:tcPr>
            <w:tcW w:w="1527" w:type="pct"/>
            <w:tcBorders>
              <w:top w:val="single" w:color="auto" w:sz="4" w:space="0"/>
              <w:left w:val="single" w:color="auto" w:sz="4" w:space="0"/>
              <w:bottom w:val="single" w:color="auto" w:sz="4" w:space="0"/>
              <w:right w:val="single" w:color="auto" w:sz="4" w:space="0"/>
            </w:tcBorders>
            <w:vAlign w:val="center"/>
          </w:tcPr>
          <w:p w14:paraId="694D2E65">
            <w:pPr>
              <w:ind w:firstLine="0" w:firstLineChars="0"/>
              <w:jc w:val="center"/>
              <w:rPr>
                <w:rFonts w:ascii="Calibri" w:hAnsi="Calibri" w:eastAsia="宋体"/>
                <w:sz w:val="21"/>
                <w:szCs w:val="21"/>
              </w:rPr>
            </w:pPr>
            <w:r>
              <w:rPr>
                <w:rFonts w:hint="eastAsia" w:ascii="宋体" w:hAnsi="宋体"/>
                <w:sz w:val="21"/>
                <w:szCs w:val="21"/>
              </w:rPr>
              <w:t>缺血性中风软瘫所用药物用量情况</w:t>
            </w:r>
          </w:p>
        </w:tc>
        <w:tc>
          <w:tcPr>
            <w:tcW w:w="593" w:type="pct"/>
            <w:tcBorders>
              <w:top w:val="single" w:color="auto" w:sz="4" w:space="0"/>
              <w:left w:val="single" w:color="auto" w:sz="4" w:space="0"/>
              <w:bottom w:val="single" w:color="auto" w:sz="4" w:space="0"/>
              <w:right w:val="single" w:color="auto" w:sz="4" w:space="0"/>
            </w:tcBorders>
            <w:vAlign w:val="center"/>
          </w:tcPr>
          <w:p w14:paraId="2ED9081C">
            <w:pPr>
              <w:ind w:firstLine="0" w:firstLineChars="0"/>
              <w:jc w:val="center"/>
              <w:rPr>
                <w:rFonts w:ascii="Calibri" w:hAnsi="Calibri" w:eastAsia="宋体"/>
                <w:sz w:val="21"/>
                <w:szCs w:val="21"/>
              </w:rPr>
            </w:pPr>
            <w:r>
              <w:rPr>
                <w:rFonts w:hint="eastAsia" w:ascii="宋体" w:hAnsi="宋体"/>
                <w:sz w:val="21"/>
                <w:szCs w:val="21"/>
              </w:rPr>
              <w:t>药袋表面温度</w:t>
            </w:r>
          </w:p>
        </w:tc>
        <w:tc>
          <w:tcPr>
            <w:tcW w:w="741" w:type="pct"/>
            <w:tcBorders>
              <w:top w:val="single" w:color="auto" w:sz="4" w:space="0"/>
              <w:left w:val="single" w:color="auto" w:sz="4" w:space="0"/>
              <w:bottom w:val="single" w:color="auto" w:sz="4" w:space="0"/>
              <w:right w:val="single" w:color="auto" w:sz="4" w:space="0"/>
            </w:tcBorders>
            <w:vAlign w:val="center"/>
          </w:tcPr>
          <w:p w14:paraId="7B1D7527">
            <w:pPr>
              <w:ind w:firstLine="0" w:firstLineChars="0"/>
              <w:jc w:val="center"/>
              <w:rPr>
                <w:rFonts w:ascii="Calibri" w:hAnsi="Calibri" w:eastAsia="宋体"/>
                <w:sz w:val="21"/>
                <w:szCs w:val="21"/>
              </w:rPr>
            </w:pPr>
            <w:r>
              <w:rPr>
                <w:rFonts w:hint="eastAsia" w:ascii="宋体" w:hAnsi="宋体"/>
                <w:sz w:val="21"/>
                <w:szCs w:val="21"/>
              </w:rPr>
              <w:t>每次治疗时间</w:t>
            </w:r>
          </w:p>
        </w:tc>
      </w:tr>
      <w:tr w14:paraId="7634FA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19" w:type="pct"/>
            <w:tcBorders>
              <w:top w:val="single" w:color="auto" w:sz="4" w:space="0"/>
              <w:left w:val="single" w:color="auto" w:sz="4" w:space="0"/>
              <w:bottom w:val="single" w:color="auto" w:sz="4" w:space="0"/>
              <w:right w:val="single" w:color="auto" w:sz="4" w:space="0"/>
            </w:tcBorders>
            <w:vAlign w:val="center"/>
          </w:tcPr>
          <w:p w14:paraId="0CCCA263">
            <w:pPr>
              <w:ind w:firstLine="0" w:firstLineChars="0"/>
              <w:jc w:val="center"/>
              <w:rPr>
                <w:rFonts w:ascii="Calibri" w:hAnsi="Calibri" w:eastAsia="宋体"/>
                <w:sz w:val="21"/>
                <w:szCs w:val="21"/>
              </w:rPr>
            </w:pPr>
            <w:r>
              <w:rPr>
                <w:rFonts w:hint="eastAsia" w:ascii="宋体" w:hAnsi="宋体"/>
                <w:sz w:val="21"/>
                <w:szCs w:val="21"/>
              </w:rPr>
              <w:t>医院1</w:t>
            </w:r>
          </w:p>
        </w:tc>
        <w:tc>
          <w:tcPr>
            <w:tcW w:w="1620" w:type="pct"/>
            <w:tcBorders>
              <w:top w:val="single" w:color="auto" w:sz="4" w:space="0"/>
              <w:left w:val="single" w:color="auto" w:sz="4" w:space="0"/>
              <w:bottom w:val="single" w:color="auto" w:sz="4" w:space="0"/>
              <w:right w:val="single" w:color="auto" w:sz="4" w:space="0"/>
            </w:tcBorders>
            <w:vAlign w:val="center"/>
          </w:tcPr>
          <w:p w14:paraId="63F1F32C">
            <w:pPr>
              <w:ind w:firstLine="0" w:firstLineChars="0"/>
              <w:rPr>
                <w:rFonts w:ascii="Calibri" w:hAnsi="Calibri" w:eastAsia="宋体"/>
                <w:sz w:val="21"/>
                <w:szCs w:val="21"/>
              </w:rPr>
            </w:pPr>
            <w:r>
              <w:rPr>
                <w:rFonts w:hint="eastAsia" w:ascii="宋体" w:hAnsi="宋体"/>
                <w:sz w:val="21"/>
                <w:szCs w:val="21"/>
              </w:rPr>
              <w:t>白芍</w:t>
            </w:r>
            <w:r>
              <w:rPr>
                <w:rFonts w:hint="eastAsia" w:ascii="宋体" w:cs="Calibri"/>
                <w:sz w:val="21"/>
                <w:szCs w:val="21"/>
              </w:rPr>
              <w:t>15</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、防风</w:t>
            </w:r>
            <w:r>
              <w:rPr>
                <w:rFonts w:hint="eastAsia" w:ascii="宋体" w:cs="Calibri"/>
                <w:sz w:val="21"/>
                <w:szCs w:val="21"/>
              </w:rPr>
              <w:t>15</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、宽筋藤</w:t>
            </w:r>
            <w:r>
              <w:rPr>
                <w:rFonts w:hint="eastAsia" w:ascii="宋体" w:cs="Calibri"/>
                <w:sz w:val="21"/>
                <w:szCs w:val="21"/>
              </w:rPr>
              <w:t>20</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、钩藤</w:t>
            </w:r>
            <w:r>
              <w:rPr>
                <w:rFonts w:hint="eastAsia" w:ascii="宋体" w:cs="Calibri"/>
                <w:sz w:val="21"/>
                <w:szCs w:val="21"/>
              </w:rPr>
              <w:t>20</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、络石藤</w:t>
            </w:r>
            <w:r>
              <w:rPr>
                <w:rFonts w:hint="eastAsia" w:ascii="宋体" w:cs="Calibri"/>
                <w:sz w:val="21"/>
                <w:szCs w:val="21"/>
              </w:rPr>
              <w:t>15</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、千年健</w:t>
            </w:r>
            <w:r>
              <w:rPr>
                <w:rFonts w:hint="eastAsia" w:ascii="宋体" w:cs="Calibri"/>
                <w:sz w:val="21"/>
                <w:szCs w:val="21"/>
              </w:rPr>
              <w:t>15</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、甘松</w:t>
            </w:r>
            <w:r>
              <w:rPr>
                <w:rFonts w:hint="eastAsia" w:ascii="宋体" w:cs="Calibri"/>
                <w:sz w:val="21"/>
                <w:szCs w:val="21"/>
              </w:rPr>
              <w:t>15</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、海风藤</w:t>
            </w:r>
            <w:r>
              <w:rPr>
                <w:rFonts w:hint="eastAsia" w:ascii="宋体" w:cs="Calibri"/>
                <w:sz w:val="21"/>
                <w:szCs w:val="21"/>
              </w:rPr>
              <w:t>10</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、红花</w:t>
            </w:r>
            <w:r>
              <w:rPr>
                <w:rFonts w:hint="eastAsia" w:ascii="宋体" w:cs="Calibri"/>
                <w:sz w:val="21"/>
                <w:szCs w:val="21"/>
              </w:rPr>
              <w:t>10</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、冰片</w:t>
            </w:r>
            <w:r>
              <w:rPr>
                <w:rFonts w:hint="eastAsia" w:ascii="宋体" w:cs="Calibri"/>
                <w:sz w:val="21"/>
                <w:szCs w:val="21"/>
              </w:rPr>
              <w:t>5</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；粉碎，制成药袋，加热后固定到药棒备用</w:t>
            </w:r>
          </w:p>
        </w:tc>
        <w:tc>
          <w:tcPr>
            <w:tcW w:w="1527" w:type="pct"/>
            <w:tcBorders>
              <w:top w:val="single" w:color="auto" w:sz="4" w:space="0"/>
              <w:left w:val="single" w:color="auto" w:sz="4" w:space="0"/>
              <w:bottom w:val="single" w:color="auto" w:sz="4" w:space="0"/>
              <w:right w:val="single" w:color="auto" w:sz="4" w:space="0"/>
            </w:tcBorders>
            <w:vAlign w:val="center"/>
          </w:tcPr>
          <w:p w14:paraId="09A75A5B">
            <w:pPr>
              <w:ind w:firstLine="0" w:firstLineChars="0"/>
              <w:rPr>
                <w:rFonts w:ascii="Calibri" w:hAnsi="Calibri" w:eastAsia="宋体"/>
                <w:sz w:val="21"/>
                <w:szCs w:val="21"/>
              </w:rPr>
            </w:pPr>
            <w:r>
              <w:rPr>
                <w:rFonts w:hint="eastAsia" w:ascii="宋体" w:hAnsi="宋体"/>
                <w:sz w:val="21"/>
                <w:szCs w:val="21"/>
              </w:rPr>
              <w:t>细辛</w:t>
            </w:r>
            <w:r>
              <w:rPr>
                <w:rFonts w:hint="eastAsia" w:ascii="宋体" w:cs="Calibri"/>
                <w:sz w:val="21"/>
                <w:szCs w:val="21"/>
              </w:rPr>
              <w:t>10</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、桂枝</w:t>
            </w:r>
            <w:r>
              <w:rPr>
                <w:rFonts w:hint="eastAsia" w:ascii="宋体" w:cs="Calibri"/>
                <w:sz w:val="21"/>
                <w:szCs w:val="21"/>
              </w:rPr>
              <w:t>20</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、千年健</w:t>
            </w:r>
            <w:r>
              <w:rPr>
                <w:rFonts w:hint="eastAsia" w:ascii="宋体" w:cs="Calibri"/>
                <w:sz w:val="21"/>
                <w:szCs w:val="21"/>
              </w:rPr>
              <w:t>15</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、艾叶</w:t>
            </w:r>
            <w:r>
              <w:rPr>
                <w:rFonts w:hint="eastAsia" w:ascii="宋体" w:cs="Calibri"/>
                <w:sz w:val="21"/>
                <w:szCs w:val="21"/>
              </w:rPr>
              <w:t>10</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、五加皮</w:t>
            </w:r>
            <w:r>
              <w:rPr>
                <w:rFonts w:hint="eastAsia" w:ascii="宋体" w:cs="Calibri"/>
                <w:sz w:val="21"/>
                <w:szCs w:val="21"/>
              </w:rPr>
              <w:t>10</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、地龙</w:t>
            </w:r>
            <w:r>
              <w:rPr>
                <w:rFonts w:hint="eastAsia" w:ascii="宋体" w:cs="Calibri"/>
                <w:sz w:val="21"/>
                <w:szCs w:val="21"/>
              </w:rPr>
              <w:t>20</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、甘松</w:t>
            </w:r>
            <w:r>
              <w:rPr>
                <w:rFonts w:hint="eastAsia" w:ascii="宋体" w:cs="Calibri"/>
                <w:sz w:val="21"/>
                <w:szCs w:val="21"/>
              </w:rPr>
              <w:t>15</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、海风藤</w:t>
            </w:r>
            <w:r>
              <w:rPr>
                <w:rFonts w:hint="eastAsia" w:ascii="宋体" w:cs="Calibri"/>
                <w:sz w:val="21"/>
                <w:szCs w:val="21"/>
              </w:rPr>
              <w:t>10</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、红花</w:t>
            </w:r>
            <w:r>
              <w:rPr>
                <w:rFonts w:hint="eastAsia" w:ascii="宋体" w:cs="Calibri"/>
                <w:sz w:val="21"/>
                <w:szCs w:val="21"/>
              </w:rPr>
              <w:t>10</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、冰片</w:t>
            </w:r>
            <w:r>
              <w:rPr>
                <w:rFonts w:hint="eastAsia" w:ascii="宋体" w:cs="Calibri"/>
                <w:sz w:val="21"/>
                <w:szCs w:val="21"/>
              </w:rPr>
              <w:t>5</w:t>
            </w:r>
            <w:r>
              <w:rPr>
                <w:rFonts w:ascii="宋体" w:cs="Calibri"/>
                <w:sz w:val="21"/>
                <w:szCs w:val="21"/>
                <w:vertAlign w:val="subscript"/>
              </w:rPr>
              <w:t xml:space="preserve"> </w:t>
            </w:r>
            <w:r>
              <w:rPr>
                <w:rFonts w:hint="eastAsia" w:ascii="宋体" w:cs="Calibri"/>
                <w:sz w:val="21"/>
                <w:szCs w:val="21"/>
              </w:rPr>
              <w:t>g</w:t>
            </w:r>
            <w:r>
              <w:rPr>
                <w:rFonts w:hint="eastAsia" w:ascii="宋体" w:hAnsi="宋体"/>
                <w:sz w:val="21"/>
                <w:szCs w:val="21"/>
              </w:rPr>
              <w:t>，粉碎，制成药袋，加热后固定到药棒备用</w:t>
            </w:r>
          </w:p>
        </w:tc>
        <w:tc>
          <w:tcPr>
            <w:tcW w:w="593" w:type="pct"/>
            <w:tcBorders>
              <w:top w:val="single" w:color="auto" w:sz="4" w:space="0"/>
              <w:left w:val="single" w:color="auto" w:sz="4" w:space="0"/>
              <w:bottom w:val="single" w:color="auto" w:sz="4" w:space="0"/>
              <w:right w:val="single" w:color="auto" w:sz="4" w:space="0"/>
            </w:tcBorders>
            <w:vAlign w:val="center"/>
          </w:tcPr>
          <w:p w14:paraId="5AD5AA5A">
            <w:pPr>
              <w:ind w:firstLine="0" w:firstLineChars="0"/>
              <w:rPr>
                <w:rFonts w:ascii="Calibri" w:hAnsi="Calibri" w:eastAsia="宋体"/>
                <w:sz w:val="21"/>
                <w:szCs w:val="21"/>
              </w:rPr>
            </w:pPr>
            <w:r>
              <w:rPr>
                <w:rFonts w:hint="eastAsia" w:ascii="宋体" w:cs="Calibri"/>
                <w:sz w:val="21"/>
                <w:szCs w:val="21"/>
              </w:rPr>
              <w:t>50</w:t>
            </w:r>
            <w:r>
              <w:rPr>
                <w:rFonts w:hint="eastAsia" w:ascii="宋体" w:hAnsi="宋体"/>
                <w:sz w:val="21"/>
                <w:szCs w:val="21"/>
              </w:rPr>
              <w:t>℃～</w:t>
            </w:r>
            <w:r>
              <w:rPr>
                <w:rFonts w:hint="eastAsia" w:ascii="宋体" w:cs="Calibri"/>
                <w:sz w:val="21"/>
                <w:szCs w:val="21"/>
              </w:rPr>
              <w:t>70</w:t>
            </w:r>
            <w:r>
              <w:rPr>
                <w:rFonts w:hint="eastAsia" w:ascii="宋体" w:hAnsi="宋体"/>
                <w:sz w:val="21"/>
                <w:szCs w:val="21"/>
              </w:rPr>
              <w:t>℃</w:t>
            </w:r>
          </w:p>
        </w:tc>
        <w:tc>
          <w:tcPr>
            <w:tcW w:w="741" w:type="pct"/>
            <w:tcBorders>
              <w:top w:val="single" w:color="auto" w:sz="4" w:space="0"/>
              <w:left w:val="single" w:color="auto" w:sz="4" w:space="0"/>
              <w:bottom w:val="single" w:color="auto" w:sz="4" w:space="0"/>
              <w:right w:val="single" w:color="auto" w:sz="4" w:space="0"/>
            </w:tcBorders>
            <w:vAlign w:val="center"/>
          </w:tcPr>
          <w:p w14:paraId="6164C883">
            <w:pPr>
              <w:ind w:firstLine="0" w:firstLineChars="0"/>
              <w:rPr>
                <w:rFonts w:ascii="Calibri" w:hAnsi="Calibri" w:eastAsia="宋体"/>
                <w:sz w:val="21"/>
                <w:szCs w:val="21"/>
              </w:rPr>
            </w:pPr>
            <w:r>
              <w:rPr>
                <w:rFonts w:hint="eastAsia" w:ascii="宋体" w:cs="Calibri"/>
                <w:sz w:val="21"/>
                <w:szCs w:val="21"/>
              </w:rPr>
              <w:t>30</w:t>
            </w:r>
            <w:r>
              <w:rPr>
                <w:rFonts w:ascii="宋体" w:cs="Calibri"/>
                <w:sz w:val="21"/>
                <w:szCs w:val="21"/>
                <w:vertAlign w:val="subscript"/>
              </w:rPr>
              <w:t xml:space="preserve"> </w:t>
            </w:r>
            <w:r>
              <w:rPr>
                <w:rFonts w:hint="eastAsia" w:ascii="宋体" w:cs="Calibri"/>
                <w:sz w:val="21"/>
                <w:szCs w:val="21"/>
              </w:rPr>
              <w:t>min</w:t>
            </w:r>
            <w:r>
              <w:rPr>
                <w:rFonts w:hint="eastAsia" w:ascii="宋体" w:hAnsi="宋体"/>
                <w:sz w:val="21"/>
                <w:szCs w:val="21"/>
              </w:rPr>
              <w:t>～</w:t>
            </w:r>
            <w:r>
              <w:rPr>
                <w:rFonts w:hint="eastAsia" w:ascii="宋体" w:cs="Calibri"/>
                <w:sz w:val="21"/>
                <w:szCs w:val="21"/>
              </w:rPr>
              <w:t>45</w:t>
            </w:r>
            <w:r>
              <w:rPr>
                <w:rFonts w:ascii="宋体" w:cs="Calibri"/>
                <w:sz w:val="21"/>
                <w:szCs w:val="21"/>
                <w:vertAlign w:val="subscript"/>
              </w:rPr>
              <w:t xml:space="preserve"> </w:t>
            </w:r>
            <w:r>
              <w:rPr>
                <w:rFonts w:hint="eastAsia" w:ascii="宋体" w:cs="Calibri"/>
                <w:sz w:val="21"/>
                <w:szCs w:val="21"/>
              </w:rPr>
              <w:t>min</w:t>
            </w:r>
          </w:p>
        </w:tc>
      </w:tr>
      <w:tr w14:paraId="3AC579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19" w:type="pct"/>
            <w:tcBorders>
              <w:top w:val="single" w:color="auto" w:sz="4" w:space="0"/>
              <w:left w:val="single" w:color="auto" w:sz="4" w:space="0"/>
              <w:bottom w:val="single" w:color="auto" w:sz="4" w:space="0"/>
              <w:right w:val="single" w:color="auto" w:sz="4" w:space="0"/>
            </w:tcBorders>
            <w:vAlign w:val="center"/>
          </w:tcPr>
          <w:p w14:paraId="010A4294">
            <w:pPr>
              <w:ind w:firstLine="0" w:firstLineChars="0"/>
              <w:jc w:val="center"/>
              <w:rPr>
                <w:rFonts w:ascii="Calibri" w:hAnsi="Calibri" w:eastAsia="宋体"/>
                <w:sz w:val="21"/>
                <w:szCs w:val="21"/>
              </w:rPr>
            </w:pPr>
            <w:r>
              <w:rPr>
                <w:rFonts w:hint="eastAsia" w:ascii="宋体" w:hAnsi="宋体"/>
                <w:sz w:val="21"/>
                <w:szCs w:val="21"/>
              </w:rPr>
              <w:t>医院2</w:t>
            </w:r>
          </w:p>
        </w:tc>
        <w:tc>
          <w:tcPr>
            <w:tcW w:w="1620" w:type="pct"/>
            <w:tcBorders>
              <w:top w:val="single" w:color="auto" w:sz="4" w:space="0"/>
              <w:left w:val="single" w:color="auto" w:sz="4" w:space="0"/>
              <w:bottom w:val="single" w:color="auto" w:sz="4" w:space="0"/>
              <w:right w:val="single" w:color="auto" w:sz="4" w:space="0"/>
            </w:tcBorders>
            <w:vAlign w:val="center"/>
          </w:tcPr>
          <w:p w14:paraId="37D72FFB">
            <w:pPr>
              <w:ind w:firstLine="0" w:firstLineChars="0"/>
              <w:rPr>
                <w:rFonts w:ascii="Calibri" w:hAnsi="Calibri" w:eastAsia="宋体"/>
                <w:sz w:val="21"/>
                <w:szCs w:val="21"/>
              </w:rPr>
            </w:pPr>
            <w:r>
              <w:rPr>
                <w:rFonts w:hint="eastAsia" w:ascii="宋体" w:hAnsi="宋体"/>
                <w:sz w:val="21"/>
                <w:szCs w:val="21"/>
              </w:rPr>
              <w:t>黄芪</w:t>
            </w:r>
            <w:r>
              <w:rPr>
                <w:rFonts w:hint="eastAsia" w:ascii="宋体" w:cs="Calibri"/>
                <w:sz w:val="21"/>
                <w:szCs w:val="21"/>
              </w:rPr>
              <w:t>30g</w:t>
            </w:r>
            <w:r>
              <w:rPr>
                <w:rFonts w:hint="eastAsia" w:ascii="宋体" w:hAnsi="宋体"/>
                <w:sz w:val="21"/>
                <w:szCs w:val="21"/>
              </w:rPr>
              <w:t>、当归</w:t>
            </w:r>
            <w:r>
              <w:rPr>
                <w:rFonts w:hint="eastAsia" w:ascii="宋体" w:cs="Calibri"/>
                <w:sz w:val="21"/>
                <w:szCs w:val="21"/>
              </w:rPr>
              <w:t>15g</w:t>
            </w:r>
            <w:r>
              <w:rPr>
                <w:rFonts w:hint="eastAsia" w:ascii="宋体" w:hAnsi="宋体"/>
                <w:sz w:val="21"/>
                <w:szCs w:val="21"/>
              </w:rPr>
              <w:t>、川芎</w:t>
            </w:r>
            <w:r>
              <w:rPr>
                <w:rFonts w:hint="eastAsia" w:ascii="宋体" w:cs="Calibri"/>
                <w:sz w:val="21"/>
                <w:szCs w:val="21"/>
              </w:rPr>
              <w:t>15g</w:t>
            </w:r>
            <w:r>
              <w:rPr>
                <w:rFonts w:hint="eastAsia" w:ascii="宋体" w:hAnsi="宋体"/>
                <w:sz w:val="21"/>
                <w:szCs w:val="21"/>
              </w:rPr>
              <w:t>、赤芍</w:t>
            </w:r>
            <w:r>
              <w:rPr>
                <w:rFonts w:hint="eastAsia" w:ascii="宋体" w:cs="Calibri"/>
                <w:sz w:val="21"/>
                <w:szCs w:val="21"/>
              </w:rPr>
              <w:t>15g</w:t>
            </w:r>
            <w:r>
              <w:rPr>
                <w:rFonts w:hint="eastAsia" w:ascii="宋体" w:hAnsi="宋体"/>
                <w:sz w:val="21"/>
                <w:szCs w:val="21"/>
              </w:rPr>
              <w:t>、地龙</w:t>
            </w:r>
            <w:r>
              <w:rPr>
                <w:rFonts w:hint="eastAsia" w:ascii="宋体" w:cs="Calibri"/>
                <w:sz w:val="21"/>
                <w:szCs w:val="21"/>
              </w:rPr>
              <w:t>10g</w:t>
            </w:r>
            <w:r>
              <w:rPr>
                <w:rFonts w:hint="eastAsia" w:ascii="宋体" w:hAnsi="宋体"/>
                <w:sz w:val="21"/>
                <w:szCs w:val="21"/>
              </w:rPr>
              <w:t>、桃仁</w:t>
            </w:r>
            <w:r>
              <w:rPr>
                <w:rFonts w:hint="eastAsia" w:ascii="宋体" w:cs="Calibri"/>
                <w:sz w:val="21"/>
                <w:szCs w:val="21"/>
              </w:rPr>
              <w:t>10g</w:t>
            </w:r>
            <w:r>
              <w:rPr>
                <w:rFonts w:hint="eastAsia" w:ascii="宋体" w:hAnsi="宋体"/>
                <w:sz w:val="21"/>
                <w:szCs w:val="21"/>
              </w:rPr>
              <w:t>、红花</w:t>
            </w:r>
            <w:r>
              <w:rPr>
                <w:rFonts w:hint="eastAsia" w:ascii="宋体" w:cs="Calibri"/>
                <w:sz w:val="21"/>
                <w:szCs w:val="21"/>
              </w:rPr>
              <w:t>10g</w:t>
            </w:r>
            <w:r>
              <w:rPr>
                <w:rFonts w:hint="eastAsia" w:ascii="宋体" w:hAnsi="宋体"/>
                <w:sz w:val="21"/>
                <w:szCs w:val="21"/>
              </w:rPr>
              <w:t>、鸡血藤</w:t>
            </w:r>
            <w:r>
              <w:rPr>
                <w:rFonts w:hint="eastAsia" w:ascii="宋体" w:cs="Calibri"/>
                <w:sz w:val="21"/>
                <w:szCs w:val="21"/>
              </w:rPr>
              <w:t>30g</w:t>
            </w:r>
            <w:r>
              <w:rPr>
                <w:rFonts w:hint="eastAsia" w:ascii="宋体" w:hAnsi="宋体"/>
                <w:sz w:val="21"/>
                <w:szCs w:val="21"/>
              </w:rPr>
              <w:t>、伸筋草</w:t>
            </w:r>
            <w:r>
              <w:rPr>
                <w:rFonts w:hint="eastAsia" w:ascii="宋体" w:cs="Calibri"/>
                <w:sz w:val="21"/>
                <w:szCs w:val="21"/>
              </w:rPr>
              <w:t>20g</w:t>
            </w:r>
            <w:r>
              <w:rPr>
                <w:rFonts w:hint="eastAsia" w:ascii="宋体" w:hAnsi="宋体"/>
                <w:sz w:val="21"/>
                <w:szCs w:val="21"/>
              </w:rPr>
              <w:t>、透骨草</w:t>
            </w:r>
            <w:r>
              <w:rPr>
                <w:rFonts w:hint="eastAsia" w:ascii="宋体" w:cs="Calibri"/>
                <w:sz w:val="21"/>
                <w:szCs w:val="21"/>
              </w:rPr>
              <w:t>20g</w:t>
            </w:r>
            <w:r>
              <w:rPr>
                <w:rFonts w:hint="eastAsia" w:ascii="宋体" w:hAnsi="宋体"/>
                <w:sz w:val="21"/>
                <w:szCs w:val="21"/>
              </w:rPr>
              <w:t>、威灵仙</w:t>
            </w:r>
            <w:r>
              <w:rPr>
                <w:rFonts w:hint="eastAsia" w:ascii="宋体" w:cs="Calibri"/>
                <w:sz w:val="21"/>
                <w:szCs w:val="21"/>
              </w:rPr>
              <w:t>15g</w:t>
            </w:r>
            <w:r>
              <w:rPr>
                <w:rFonts w:hint="eastAsia" w:ascii="宋体" w:hAnsi="宋体"/>
                <w:sz w:val="21"/>
                <w:szCs w:val="21"/>
              </w:rPr>
              <w:t>、桂枝</w:t>
            </w:r>
            <w:r>
              <w:rPr>
                <w:rFonts w:hint="eastAsia" w:ascii="宋体" w:cs="Calibri"/>
                <w:sz w:val="21"/>
                <w:szCs w:val="21"/>
              </w:rPr>
              <w:t>10g</w:t>
            </w:r>
            <w:r>
              <w:rPr>
                <w:rFonts w:hint="eastAsia" w:ascii="宋体" w:hAnsi="宋体"/>
                <w:sz w:val="21"/>
                <w:szCs w:val="21"/>
              </w:rPr>
              <w:t>，共研粗末，装入药袋备用。</w:t>
            </w:r>
          </w:p>
        </w:tc>
        <w:tc>
          <w:tcPr>
            <w:tcW w:w="1527" w:type="pct"/>
            <w:tcBorders>
              <w:top w:val="single" w:color="auto" w:sz="4" w:space="0"/>
              <w:left w:val="single" w:color="auto" w:sz="4" w:space="0"/>
              <w:bottom w:val="single" w:color="auto" w:sz="4" w:space="0"/>
              <w:right w:val="single" w:color="auto" w:sz="4" w:space="0"/>
            </w:tcBorders>
            <w:vAlign w:val="center"/>
          </w:tcPr>
          <w:p w14:paraId="3B5DA8AB">
            <w:pPr>
              <w:ind w:firstLine="0" w:firstLineChars="0"/>
              <w:rPr>
                <w:rFonts w:ascii="Calibri" w:hAnsi="Calibri" w:eastAsia="宋体"/>
                <w:sz w:val="21"/>
                <w:szCs w:val="21"/>
              </w:rPr>
            </w:pPr>
            <w:r>
              <w:rPr>
                <w:rFonts w:hint="eastAsia" w:ascii="宋体" w:hAnsi="宋体"/>
                <w:sz w:val="21"/>
                <w:szCs w:val="21"/>
              </w:rPr>
              <w:t>黄芪</w:t>
            </w:r>
            <w:r>
              <w:rPr>
                <w:rFonts w:hint="eastAsia" w:ascii="宋体" w:cs="Calibri"/>
                <w:sz w:val="21"/>
                <w:szCs w:val="21"/>
              </w:rPr>
              <w:t>40g</w:t>
            </w:r>
            <w:r>
              <w:rPr>
                <w:rFonts w:hint="eastAsia" w:ascii="宋体" w:hAnsi="宋体"/>
                <w:sz w:val="21"/>
                <w:szCs w:val="21"/>
              </w:rPr>
              <w:t>、党参</w:t>
            </w:r>
            <w:r>
              <w:rPr>
                <w:rFonts w:hint="eastAsia" w:ascii="宋体" w:cs="Calibri"/>
                <w:sz w:val="21"/>
                <w:szCs w:val="21"/>
              </w:rPr>
              <w:t>30g</w:t>
            </w:r>
            <w:r>
              <w:rPr>
                <w:rFonts w:hint="eastAsia" w:ascii="宋体" w:hAnsi="宋体"/>
                <w:sz w:val="21"/>
                <w:szCs w:val="21"/>
              </w:rPr>
              <w:t>、白术</w:t>
            </w:r>
            <w:r>
              <w:rPr>
                <w:rFonts w:hint="eastAsia" w:ascii="宋体" w:cs="Calibri"/>
                <w:sz w:val="21"/>
                <w:szCs w:val="21"/>
              </w:rPr>
              <w:t>20g</w:t>
            </w:r>
            <w:r>
              <w:rPr>
                <w:rFonts w:hint="eastAsia" w:ascii="宋体" w:hAnsi="宋体"/>
                <w:sz w:val="21"/>
                <w:szCs w:val="21"/>
              </w:rPr>
              <w:t>、茯苓</w:t>
            </w:r>
            <w:r>
              <w:rPr>
                <w:rFonts w:hint="eastAsia" w:ascii="宋体" w:cs="Calibri"/>
                <w:sz w:val="21"/>
                <w:szCs w:val="21"/>
              </w:rPr>
              <w:t>20g</w:t>
            </w:r>
            <w:r>
              <w:rPr>
                <w:rFonts w:hint="eastAsia" w:ascii="宋体" w:hAnsi="宋体"/>
                <w:sz w:val="21"/>
                <w:szCs w:val="21"/>
              </w:rPr>
              <w:t>、当归</w:t>
            </w:r>
            <w:r>
              <w:rPr>
                <w:rFonts w:hint="eastAsia" w:ascii="宋体" w:cs="Calibri"/>
                <w:sz w:val="21"/>
                <w:szCs w:val="21"/>
              </w:rPr>
              <w:t>15g</w:t>
            </w:r>
            <w:r>
              <w:rPr>
                <w:rFonts w:hint="eastAsia" w:ascii="宋体" w:hAnsi="宋体"/>
                <w:sz w:val="21"/>
                <w:szCs w:val="21"/>
              </w:rPr>
              <w:t>、川芎</w:t>
            </w:r>
            <w:r>
              <w:rPr>
                <w:rFonts w:hint="eastAsia" w:ascii="宋体" w:cs="Calibri"/>
                <w:sz w:val="21"/>
                <w:szCs w:val="21"/>
              </w:rPr>
              <w:t>15g</w:t>
            </w:r>
            <w:r>
              <w:rPr>
                <w:rFonts w:hint="eastAsia" w:ascii="宋体" w:hAnsi="宋体"/>
                <w:sz w:val="21"/>
                <w:szCs w:val="21"/>
              </w:rPr>
              <w:t>、赤芍</w:t>
            </w:r>
            <w:r>
              <w:rPr>
                <w:rFonts w:hint="eastAsia" w:ascii="宋体" w:cs="Calibri"/>
                <w:sz w:val="21"/>
                <w:szCs w:val="21"/>
              </w:rPr>
              <w:t>15g</w:t>
            </w:r>
            <w:r>
              <w:rPr>
                <w:rFonts w:hint="eastAsia" w:ascii="宋体" w:hAnsi="宋体"/>
                <w:sz w:val="21"/>
                <w:szCs w:val="21"/>
              </w:rPr>
              <w:t>、地龙</w:t>
            </w:r>
            <w:r>
              <w:rPr>
                <w:rFonts w:hint="eastAsia" w:ascii="宋体" w:cs="Calibri"/>
                <w:sz w:val="21"/>
                <w:szCs w:val="21"/>
              </w:rPr>
              <w:t>10g</w:t>
            </w:r>
            <w:r>
              <w:rPr>
                <w:rFonts w:hint="eastAsia" w:ascii="宋体" w:hAnsi="宋体"/>
                <w:sz w:val="21"/>
                <w:szCs w:val="21"/>
              </w:rPr>
              <w:t>、桂枝</w:t>
            </w:r>
            <w:r>
              <w:rPr>
                <w:rFonts w:hint="eastAsia" w:ascii="宋体" w:cs="Calibri"/>
                <w:sz w:val="21"/>
                <w:szCs w:val="21"/>
              </w:rPr>
              <w:t>15g</w:t>
            </w:r>
            <w:r>
              <w:rPr>
                <w:rFonts w:hint="eastAsia" w:ascii="宋体" w:hAnsi="宋体"/>
                <w:sz w:val="21"/>
                <w:szCs w:val="21"/>
              </w:rPr>
              <w:t>、鸡血藤</w:t>
            </w:r>
            <w:r>
              <w:rPr>
                <w:rFonts w:hint="eastAsia" w:ascii="宋体" w:cs="Calibri"/>
                <w:sz w:val="21"/>
                <w:szCs w:val="21"/>
              </w:rPr>
              <w:t>30g</w:t>
            </w:r>
            <w:r>
              <w:rPr>
                <w:rFonts w:hint="eastAsia" w:ascii="宋体" w:hAnsi="宋体"/>
                <w:sz w:val="21"/>
                <w:szCs w:val="21"/>
              </w:rPr>
              <w:t>、威灵仙</w:t>
            </w:r>
            <w:r>
              <w:rPr>
                <w:rFonts w:hint="eastAsia" w:ascii="宋体" w:cs="Calibri"/>
                <w:sz w:val="21"/>
                <w:szCs w:val="21"/>
              </w:rPr>
              <w:t>15g</w:t>
            </w:r>
            <w:r>
              <w:rPr>
                <w:rFonts w:hint="eastAsia" w:ascii="宋体" w:hAnsi="宋体"/>
                <w:sz w:val="21"/>
                <w:szCs w:val="21"/>
              </w:rPr>
              <w:t>，共研粗末装入药袋备用。</w:t>
            </w:r>
          </w:p>
        </w:tc>
        <w:tc>
          <w:tcPr>
            <w:tcW w:w="593" w:type="pct"/>
            <w:tcBorders>
              <w:top w:val="single" w:color="auto" w:sz="4" w:space="0"/>
              <w:left w:val="single" w:color="auto" w:sz="4" w:space="0"/>
              <w:bottom w:val="single" w:color="auto" w:sz="4" w:space="0"/>
              <w:right w:val="single" w:color="auto" w:sz="4" w:space="0"/>
            </w:tcBorders>
            <w:vAlign w:val="center"/>
          </w:tcPr>
          <w:p w14:paraId="2FAE2D23">
            <w:pPr>
              <w:ind w:firstLine="0" w:firstLineChars="0"/>
              <w:rPr>
                <w:rFonts w:ascii="Calibri" w:hAnsi="Calibri" w:eastAsia="宋体"/>
                <w:sz w:val="21"/>
                <w:szCs w:val="21"/>
              </w:rPr>
            </w:pPr>
            <w:r>
              <w:rPr>
                <w:rFonts w:hint="eastAsia" w:ascii="宋体" w:cs="Calibri"/>
                <w:sz w:val="21"/>
                <w:szCs w:val="21"/>
              </w:rPr>
              <w:t>50</w:t>
            </w:r>
            <w:r>
              <w:rPr>
                <w:rFonts w:hint="eastAsia" w:ascii="宋体" w:hAnsi="宋体"/>
                <w:sz w:val="21"/>
                <w:szCs w:val="21"/>
              </w:rPr>
              <w:t>℃～</w:t>
            </w:r>
            <w:r>
              <w:rPr>
                <w:rFonts w:hint="eastAsia" w:ascii="宋体" w:cs="Calibri"/>
                <w:sz w:val="21"/>
                <w:szCs w:val="21"/>
              </w:rPr>
              <w:t>70</w:t>
            </w:r>
            <w:r>
              <w:rPr>
                <w:rFonts w:hint="eastAsia" w:ascii="宋体" w:hAnsi="宋体"/>
                <w:sz w:val="21"/>
                <w:szCs w:val="21"/>
              </w:rPr>
              <w:t>℃</w:t>
            </w:r>
          </w:p>
        </w:tc>
        <w:tc>
          <w:tcPr>
            <w:tcW w:w="741" w:type="pct"/>
            <w:tcBorders>
              <w:top w:val="single" w:color="auto" w:sz="4" w:space="0"/>
              <w:left w:val="single" w:color="auto" w:sz="4" w:space="0"/>
              <w:bottom w:val="single" w:color="auto" w:sz="4" w:space="0"/>
              <w:right w:val="single" w:color="auto" w:sz="4" w:space="0"/>
            </w:tcBorders>
            <w:vAlign w:val="center"/>
          </w:tcPr>
          <w:p w14:paraId="2A97F1CE">
            <w:pPr>
              <w:ind w:firstLine="0" w:firstLineChars="0"/>
              <w:rPr>
                <w:rFonts w:ascii="Calibri" w:hAnsi="Calibri" w:eastAsia="宋体"/>
                <w:sz w:val="21"/>
                <w:szCs w:val="21"/>
              </w:rPr>
            </w:pPr>
            <w:r>
              <w:rPr>
                <w:rFonts w:hint="eastAsia" w:ascii="宋体" w:cs="Calibri"/>
                <w:sz w:val="21"/>
                <w:szCs w:val="21"/>
              </w:rPr>
              <w:t>30</w:t>
            </w:r>
            <w:r>
              <w:rPr>
                <w:rFonts w:ascii="宋体" w:cs="Calibri"/>
                <w:sz w:val="21"/>
                <w:szCs w:val="21"/>
                <w:vertAlign w:val="subscript"/>
              </w:rPr>
              <w:t xml:space="preserve"> </w:t>
            </w:r>
            <w:r>
              <w:rPr>
                <w:rFonts w:hint="eastAsia" w:ascii="宋体" w:cs="Calibri"/>
                <w:sz w:val="21"/>
                <w:szCs w:val="21"/>
              </w:rPr>
              <w:t>min</w:t>
            </w:r>
            <w:r>
              <w:rPr>
                <w:rFonts w:hint="eastAsia" w:ascii="宋体" w:hAnsi="宋体"/>
                <w:sz w:val="21"/>
                <w:szCs w:val="21"/>
              </w:rPr>
              <w:t>～</w:t>
            </w:r>
            <w:r>
              <w:rPr>
                <w:rFonts w:hint="eastAsia" w:ascii="宋体" w:cs="Calibri"/>
                <w:sz w:val="21"/>
                <w:szCs w:val="21"/>
              </w:rPr>
              <w:t>45</w:t>
            </w:r>
            <w:r>
              <w:rPr>
                <w:rFonts w:ascii="宋体" w:cs="Calibri"/>
                <w:sz w:val="21"/>
                <w:szCs w:val="21"/>
                <w:vertAlign w:val="subscript"/>
              </w:rPr>
              <w:t xml:space="preserve"> </w:t>
            </w:r>
            <w:r>
              <w:rPr>
                <w:rFonts w:hint="eastAsia" w:ascii="宋体" w:cs="Calibri"/>
                <w:sz w:val="21"/>
                <w:szCs w:val="21"/>
              </w:rPr>
              <w:t>min</w:t>
            </w:r>
          </w:p>
        </w:tc>
      </w:tr>
      <w:tr w14:paraId="739F54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19" w:type="pct"/>
            <w:tcBorders>
              <w:top w:val="single" w:color="auto" w:sz="4" w:space="0"/>
              <w:left w:val="single" w:color="auto" w:sz="4" w:space="0"/>
              <w:bottom w:val="single" w:color="auto" w:sz="4" w:space="0"/>
              <w:right w:val="single" w:color="auto" w:sz="4" w:space="0"/>
            </w:tcBorders>
            <w:vAlign w:val="center"/>
          </w:tcPr>
          <w:p w14:paraId="0FAB8A76">
            <w:pPr>
              <w:ind w:firstLine="0" w:firstLineChars="0"/>
              <w:jc w:val="center"/>
              <w:rPr>
                <w:rFonts w:ascii="Calibri" w:hAnsi="Calibri" w:eastAsia="宋体"/>
                <w:sz w:val="21"/>
                <w:szCs w:val="21"/>
              </w:rPr>
            </w:pPr>
            <w:r>
              <w:rPr>
                <w:rFonts w:hint="eastAsia" w:ascii="宋体" w:hAnsi="宋体"/>
                <w:sz w:val="21"/>
                <w:szCs w:val="21"/>
              </w:rPr>
              <w:t>医院3</w:t>
            </w:r>
          </w:p>
        </w:tc>
        <w:tc>
          <w:tcPr>
            <w:tcW w:w="1620" w:type="pct"/>
            <w:tcBorders>
              <w:top w:val="single" w:color="auto" w:sz="4" w:space="0"/>
              <w:left w:val="single" w:color="auto" w:sz="4" w:space="0"/>
              <w:bottom w:val="single" w:color="auto" w:sz="4" w:space="0"/>
              <w:right w:val="single" w:color="auto" w:sz="4" w:space="0"/>
            </w:tcBorders>
            <w:vAlign w:val="center"/>
          </w:tcPr>
          <w:p w14:paraId="6FC46383">
            <w:pPr>
              <w:ind w:firstLine="0" w:firstLineChars="0"/>
              <w:rPr>
                <w:rFonts w:ascii="Calibri" w:hAnsi="Calibri" w:eastAsia="宋体"/>
                <w:sz w:val="21"/>
                <w:szCs w:val="21"/>
              </w:rPr>
            </w:pPr>
            <w:r>
              <w:rPr>
                <w:rFonts w:hint="eastAsia" w:ascii="宋体" w:hAnsi="宋体"/>
                <w:sz w:val="21"/>
                <w:szCs w:val="21"/>
              </w:rPr>
              <w:t>伸筋草</w:t>
            </w:r>
            <w:r>
              <w:rPr>
                <w:rFonts w:hint="eastAsia" w:ascii="宋体" w:cs="Calibri"/>
                <w:sz w:val="21"/>
                <w:szCs w:val="21"/>
              </w:rPr>
              <w:t>20g</w:t>
            </w:r>
            <w:r>
              <w:rPr>
                <w:rFonts w:hint="eastAsia" w:ascii="宋体" w:hAnsi="宋体"/>
                <w:sz w:val="21"/>
                <w:szCs w:val="21"/>
              </w:rPr>
              <w:t>、透骨草</w:t>
            </w:r>
            <w:r>
              <w:rPr>
                <w:rFonts w:hint="eastAsia" w:ascii="宋体" w:cs="Calibri"/>
                <w:sz w:val="21"/>
                <w:szCs w:val="21"/>
              </w:rPr>
              <w:t>20g</w:t>
            </w:r>
            <w:r>
              <w:rPr>
                <w:rFonts w:hint="eastAsia" w:ascii="宋体" w:hAnsi="宋体"/>
                <w:sz w:val="21"/>
                <w:szCs w:val="21"/>
              </w:rPr>
              <w:t>、艾叶</w:t>
            </w:r>
            <w:r>
              <w:rPr>
                <w:rFonts w:hint="eastAsia" w:ascii="宋体" w:cs="Calibri"/>
                <w:sz w:val="21"/>
                <w:szCs w:val="21"/>
              </w:rPr>
              <w:t>15g</w:t>
            </w:r>
            <w:r>
              <w:rPr>
                <w:rFonts w:hint="eastAsia" w:ascii="宋体" w:hAnsi="宋体"/>
                <w:sz w:val="21"/>
                <w:szCs w:val="21"/>
              </w:rPr>
              <w:t>、桑枝</w:t>
            </w:r>
            <w:r>
              <w:rPr>
                <w:rFonts w:hint="eastAsia" w:ascii="宋体" w:cs="Calibri"/>
                <w:sz w:val="21"/>
                <w:szCs w:val="21"/>
              </w:rPr>
              <w:t>30g</w:t>
            </w:r>
            <w:r>
              <w:rPr>
                <w:rFonts w:hint="eastAsia" w:ascii="宋体" w:hAnsi="宋体"/>
                <w:sz w:val="21"/>
                <w:szCs w:val="21"/>
              </w:rPr>
              <w:t>、桂枝</w:t>
            </w:r>
            <w:r>
              <w:rPr>
                <w:rFonts w:hint="eastAsia" w:ascii="宋体" w:cs="Calibri"/>
                <w:sz w:val="21"/>
                <w:szCs w:val="21"/>
              </w:rPr>
              <w:t>15g</w:t>
            </w:r>
            <w:r>
              <w:rPr>
                <w:rFonts w:hint="eastAsia" w:ascii="宋体" w:hAnsi="宋体"/>
                <w:sz w:val="21"/>
                <w:szCs w:val="21"/>
              </w:rPr>
              <w:t>、红花</w:t>
            </w:r>
            <w:r>
              <w:rPr>
                <w:rFonts w:hint="eastAsia" w:ascii="宋体" w:cs="Calibri"/>
                <w:sz w:val="21"/>
                <w:szCs w:val="21"/>
              </w:rPr>
              <w:t>15g</w:t>
            </w:r>
            <w:r>
              <w:rPr>
                <w:rFonts w:hint="eastAsia" w:ascii="宋体" w:hAnsi="宋体"/>
                <w:sz w:val="21"/>
                <w:szCs w:val="21"/>
              </w:rPr>
              <w:t>、川芎</w:t>
            </w:r>
            <w:r>
              <w:rPr>
                <w:rFonts w:hint="eastAsia" w:ascii="宋体" w:cs="Calibri"/>
                <w:sz w:val="21"/>
                <w:szCs w:val="21"/>
              </w:rPr>
              <w:t>15g</w:t>
            </w:r>
            <w:r>
              <w:rPr>
                <w:rFonts w:hint="eastAsia" w:ascii="宋体" w:hAnsi="宋体"/>
                <w:sz w:val="21"/>
                <w:szCs w:val="21"/>
              </w:rPr>
              <w:t>、乳香</w:t>
            </w:r>
            <w:r>
              <w:rPr>
                <w:rFonts w:hint="eastAsia" w:ascii="宋体" w:cs="Calibri"/>
                <w:sz w:val="21"/>
                <w:szCs w:val="21"/>
              </w:rPr>
              <w:t>10g</w:t>
            </w:r>
            <w:r>
              <w:rPr>
                <w:rFonts w:hint="eastAsia" w:ascii="宋体" w:hAnsi="宋体"/>
                <w:sz w:val="21"/>
                <w:szCs w:val="21"/>
              </w:rPr>
              <w:t>、没药</w:t>
            </w:r>
            <w:r>
              <w:rPr>
                <w:rFonts w:hint="eastAsia" w:ascii="宋体" w:cs="Calibri"/>
                <w:sz w:val="21"/>
                <w:szCs w:val="21"/>
              </w:rPr>
              <w:t>10g</w:t>
            </w:r>
            <w:r>
              <w:rPr>
                <w:rFonts w:hint="eastAsia" w:ascii="宋体" w:hAnsi="宋体"/>
                <w:sz w:val="21"/>
                <w:szCs w:val="21"/>
              </w:rPr>
              <w:t>、独活</w:t>
            </w:r>
            <w:r>
              <w:rPr>
                <w:rFonts w:hint="eastAsia" w:ascii="宋体" w:cs="Calibri"/>
                <w:sz w:val="21"/>
                <w:szCs w:val="21"/>
              </w:rPr>
              <w:t>15g</w:t>
            </w:r>
            <w:r>
              <w:rPr>
                <w:rFonts w:hint="eastAsia" w:ascii="宋体" w:hAnsi="宋体"/>
                <w:sz w:val="21"/>
                <w:szCs w:val="21"/>
              </w:rPr>
              <w:t>、羌活</w:t>
            </w:r>
            <w:r>
              <w:rPr>
                <w:rFonts w:hint="eastAsia" w:ascii="宋体" w:cs="Calibri"/>
                <w:sz w:val="21"/>
                <w:szCs w:val="21"/>
              </w:rPr>
              <w:t>15g</w:t>
            </w:r>
            <w:r>
              <w:rPr>
                <w:rFonts w:hint="eastAsia" w:ascii="宋体" w:hAnsi="宋体"/>
                <w:sz w:val="21"/>
                <w:szCs w:val="21"/>
              </w:rPr>
              <w:t>、防风</w:t>
            </w:r>
            <w:r>
              <w:rPr>
                <w:rFonts w:hint="eastAsia" w:ascii="宋体" w:cs="Calibri"/>
                <w:sz w:val="21"/>
                <w:szCs w:val="21"/>
              </w:rPr>
              <w:t>15g</w:t>
            </w:r>
            <w:r>
              <w:rPr>
                <w:rFonts w:hint="eastAsia" w:ascii="宋体" w:hAnsi="宋体"/>
                <w:sz w:val="21"/>
                <w:szCs w:val="21"/>
              </w:rPr>
              <w:t>，共研粗末装入药袋备用。</w:t>
            </w:r>
          </w:p>
        </w:tc>
        <w:tc>
          <w:tcPr>
            <w:tcW w:w="1527" w:type="pct"/>
            <w:tcBorders>
              <w:top w:val="single" w:color="auto" w:sz="4" w:space="0"/>
              <w:left w:val="single" w:color="auto" w:sz="4" w:space="0"/>
              <w:bottom w:val="single" w:color="auto" w:sz="4" w:space="0"/>
              <w:right w:val="single" w:color="auto" w:sz="4" w:space="0"/>
            </w:tcBorders>
            <w:vAlign w:val="center"/>
          </w:tcPr>
          <w:p w14:paraId="0FE768DF">
            <w:pPr>
              <w:ind w:firstLine="0" w:firstLineChars="0"/>
              <w:rPr>
                <w:rFonts w:ascii="Calibri" w:hAnsi="Calibri" w:eastAsia="宋体"/>
                <w:sz w:val="21"/>
                <w:szCs w:val="21"/>
              </w:rPr>
            </w:pPr>
            <w:r>
              <w:rPr>
                <w:rFonts w:hint="eastAsia" w:ascii="宋体" w:hAnsi="宋体"/>
                <w:sz w:val="21"/>
                <w:szCs w:val="21"/>
              </w:rPr>
              <w:t>防风</w:t>
            </w:r>
            <w:r>
              <w:rPr>
                <w:rFonts w:hint="eastAsia" w:ascii="宋体" w:cs="Calibri"/>
                <w:sz w:val="21"/>
                <w:szCs w:val="21"/>
              </w:rPr>
              <w:t>15 g</w:t>
            </w:r>
            <w:r>
              <w:rPr>
                <w:rFonts w:hint="eastAsia" w:ascii="宋体" w:hAnsi="宋体"/>
                <w:sz w:val="21"/>
                <w:szCs w:val="21"/>
              </w:rPr>
              <w:t>、秦艽</w:t>
            </w:r>
            <w:r>
              <w:rPr>
                <w:rFonts w:hint="eastAsia" w:ascii="宋体" w:cs="Calibri"/>
                <w:sz w:val="21"/>
                <w:szCs w:val="21"/>
              </w:rPr>
              <w:t>12 g</w:t>
            </w:r>
            <w:r>
              <w:rPr>
                <w:rFonts w:hint="eastAsia" w:ascii="宋体" w:hAnsi="宋体"/>
                <w:sz w:val="21"/>
                <w:szCs w:val="21"/>
              </w:rPr>
              <w:t>、桂枝</w:t>
            </w:r>
            <w:r>
              <w:rPr>
                <w:rFonts w:hint="eastAsia" w:ascii="宋体" w:cs="Calibri"/>
                <w:sz w:val="21"/>
                <w:szCs w:val="21"/>
              </w:rPr>
              <w:t>10 g</w:t>
            </w:r>
            <w:r>
              <w:rPr>
                <w:rFonts w:hint="eastAsia" w:ascii="宋体" w:hAnsi="宋体"/>
                <w:sz w:val="21"/>
                <w:szCs w:val="21"/>
              </w:rPr>
              <w:t>、细辛</w:t>
            </w:r>
            <w:r>
              <w:rPr>
                <w:rFonts w:hint="eastAsia" w:ascii="宋体" w:cs="Calibri"/>
                <w:sz w:val="21"/>
                <w:szCs w:val="21"/>
              </w:rPr>
              <w:t>6 g</w:t>
            </w:r>
            <w:r>
              <w:rPr>
                <w:rFonts w:hint="eastAsia" w:ascii="宋体" w:hAnsi="宋体"/>
                <w:sz w:val="21"/>
                <w:szCs w:val="21"/>
              </w:rPr>
              <w:t>、当归</w:t>
            </w:r>
            <w:r>
              <w:rPr>
                <w:rFonts w:hint="eastAsia" w:ascii="宋体" w:cs="Calibri"/>
                <w:sz w:val="21"/>
                <w:szCs w:val="21"/>
              </w:rPr>
              <w:t>15 g</w:t>
            </w:r>
            <w:r>
              <w:rPr>
                <w:rFonts w:hint="eastAsia" w:ascii="宋体" w:hAnsi="宋体"/>
                <w:sz w:val="21"/>
                <w:szCs w:val="21"/>
              </w:rPr>
              <w:t>、川芎</w:t>
            </w:r>
            <w:r>
              <w:rPr>
                <w:rFonts w:hint="eastAsia" w:ascii="宋体" w:cs="Calibri"/>
                <w:sz w:val="21"/>
                <w:szCs w:val="21"/>
              </w:rPr>
              <w:t>10 g</w:t>
            </w:r>
            <w:r>
              <w:rPr>
                <w:rFonts w:hint="eastAsia" w:ascii="宋体" w:hAnsi="宋体"/>
                <w:sz w:val="21"/>
                <w:szCs w:val="21"/>
              </w:rPr>
              <w:t>、红花</w:t>
            </w:r>
            <w:r>
              <w:rPr>
                <w:rFonts w:hint="eastAsia" w:ascii="宋体" w:cs="Calibri"/>
                <w:sz w:val="21"/>
                <w:szCs w:val="21"/>
              </w:rPr>
              <w:t>10 g</w:t>
            </w:r>
            <w:r>
              <w:rPr>
                <w:rFonts w:hint="eastAsia" w:ascii="宋体" w:hAnsi="宋体"/>
                <w:sz w:val="21"/>
                <w:szCs w:val="21"/>
              </w:rPr>
              <w:t>、独活</w:t>
            </w:r>
            <w:r>
              <w:rPr>
                <w:rFonts w:hint="eastAsia" w:ascii="宋体" w:cs="Calibri"/>
                <w:sz w:val="21"/>
                <w:szCs w:val="21"/>
              </w:rPr>
              <w:t>12 g</w:t>
            </w:r>
            <w:r>
              <w:rPr>
                <w:rFonts w:hint="eastAsia" w:ascii="宋体" w:hAnsi="宋体"/>
                <w:sz w:val="21"/>
                <w:szCs w:val="21"/>
              </w:rPr>
              <w:t>、桑寄生</w:t>
            </w:r>
            <w:r>
              <w:rPr>
                <w:rFonts w:hint="eastAsia" w:ascii="宋体" w:cs="Calibri"/>
                <w:sz w:val="21"/>
                <w:szCs w:val="21"/>
              </w:rPr>
              <w:t>15 g</w:t>
            </w:r>
            <w:r>
              <w:rPr>
                <w:rFonts w:hint="eastAsia" w:ascii="宋体" w:hAnsi="宋体"/>
                <w:sz w:val="21"/>
                <w:szCs w:val="21"/>
              </w:rPr>
              <w:t>、杜仲</w:t>
            </w:r>
            <w:r>
              <w:rPr>
                <w:rFonts w:hint="eastAsia" w:ascii="宋体" w:cs="Calibri"/>
                <w:sz w:val="21"/>
                <w:szCs w:val="21"/>
              </w:rPr>
              <w:t>15 g</w:t>
            </w:r>
            <w:r>
              <w:rPr>
                <w:rFonts w:hint="eastAsia" w:ascii="宋体" w:hAnsi="宋体"/>
                <w:sz w:val="21"/>
                <w:szCs w:val="21"/>
              </w:rPr>
              <w:t>，共研粗末装入药袋备用。</w:t>
            </w:r>
          </w:p>
        </w:tc>
        <w:tc>
          <w:tcPr>
            <w:tcW w:w="593" w:type="pct"/>
            <w:tcBorders>
              <w:top w:val="single" w:color="auto" w:sz="4" w:space="0"/>
              <w:left w:val="single" w:color="auto" w:sz="4" w:space="0"/>
              <w:bottom w:val="single" w:color="auto" w:sz="4" w:space="0"/>
              <w:right w:val="single" w:color="auto" w:sz="4" w:space="0"/>
            </w:tcBorders>
            <w:vAlign w:val="center"/>
          </w:tcPr>
          <w:p w14:paraId="6D70E202">
            <w:pPr>
              <w:ind w:firstLine="0" w:firstLineChars="0"/>
              <w:rPr>
                <w:rFonts w:ascii="Calibri" w:hAnsi="Calibri" w:eastAsia="宋体"/>
                <w:sz w:val="21"/>
                <w:szCs w:val="21"/>
              </w:rPr>
            </w:pPr>
            <w:r>
              <w:rPr>
                <w:rFonts w:hint="eastAsia" w:ascii="宋体" w:cs="Calibri"/>
                <w:sz w:val="21"/>
                <w:szCs w:val="21"/>
              </w:rPr>
              <w:t>50</w:t>
            </w:r>
            <w:r>
              <w:rPr>
                <w:rFonts w:hint="eastAsia" w:ascii="宋体" w:hAnsi="宋体"/>
                <w:sz w:val="21"/>
                <w:szCs w:val="21"/>
              </w:rPr>
              <w:t>℃～</w:t>
            </w:r>
            <w:r>
              <w:rPr>
                <w:rFonts w:hint="eastAsia" w:ascii="宋体" w:cs="Calibri"/>
                <w:sz w:val="21"/>
                <w:szCs w:val="21"/>
              </w:rPr>
              <w:t>70</w:t>
            </w:r>
            <w:r>
              <w:rPr>
                <w:rFonts w:hint="eastAsia" w:ascii="宋体" w:hAnsi="宋体"/>
                <w:sz w:val="21"/>
                <w:szCs w:val="21"/>
              </w:rPr>
              <w:t>℃</w:t>
            </w:r>
          </w:p>
        </w:tc>
        <w:tc>
          <w:tcPr>
            <w:tcW w:w="741" w:type="pct"/>
            <w:tcBorders>
              <w:top w:val="single" w:color="auto" w:sz="4" w:space="0"/>
              <w:left w:val="single" w:color="auto" w:sz="4" w:space="0"/>
              <w:bottom w:val="single" w:color="auto" w:sz="4" w:space="0"/>
              <w:right w:val="single" w:color="auto" w:sz="4" w:space="0"/>
            </w:tcBorders>
            <w:vAlign w:val="center"/>
          </w:tcPr>
          <w:p w14:paraId="77FF0BD4">
            <w:pPr>
              <w:ind w:firstLine="0" w:firstLineChars="0"/>
              <w:rPr>
                <w:rFonts w:ascii="Calibri" w:hAnsi="Calibri" w:eastAsia="宋体"/>
                <w:sz w:val="21"/>
                <w:szCs w:val="21"/>
              </w:rPr>
            </w:pPr>
            <w:r>
              <w:rPr>
                <w:rFonts w:hint="eastAsia" w:ascii="宋体" w:cs="Calibri"/>
                <w:sz w:val="21"/>
                <w:szCs w:val="21"/>
              </w:rPr>
              <w:t>30</w:t>
            </w:r>
            <w:r>
              <w:rPr>
                <w:rFonts w:ascii="宋体" w:cs="Calibri"/>
                <w:sz w:val="21"/>
                <w:szCs w:val="21"/>
                <w:vertAlign w:val="subscript"/>
              </w:rPr>
              <w:t xml:space="preserve"> </w:t>
            </w:r>
            <w:r>
              <w:rPr>
                <w:rFonts w:hint="eastAsia" w:ascii="宋体" w:cs="Calibri"/>
                <w:sz w:val="21"/>
                <w:szCs w:val="21"/>
              </w:rPr>
              <w:t>min</w:t>
            </w:r>
            <w:r>
              <w:rPr>
                <w:rFonts w:hint="eastAsia" w:ascii="宋体" w:hAnsi="宋体"/>
                <w:sz w:val="21"/>
                <w:szCs w:val="21"/>
              </w:rPr>
              <w:t>～</w:t>
            </w:r>
            <w:r>
              <w:rPr>
                <w:rFonts w:hint="eastAsia" w:ascii="宋体" w:cs="Calibri"/>
                <w:sz w:val="21"/>
                <w:szCs w:val="21"/>
              </w:rPr>
              <w:t>45</w:t>
            </w:r>
            <w:r>
              <w:rPr>
                <w:rFonts w:ascii="宋体" w:cs="Calibri"/>
                <w:sz w:val="21"/>
                <w:szCs w:val="21"/>
                <w:vertAlign w:val="subscript"/>
              </w:rPr>
              <w:t xml:space="preserve"> </w:t>
            </w:r>
            <w:r>
              <w:rPr>
                <w:rFonts w:hint="eastAsia" w:ascii="宋体" w:cs="Calibri"/>
                <w:sz w:val="21"/>
                <w:szCs w:val="21"/>
              </w:rPr>
              <w:t>min</w:t>
            </w:r>
          </w:p>
        </w:tc>
      </w:tr>
      <w:tr w14:paraId="36E6E6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19" w:type="pct"/>
            <w:tcBorders>
              <w:top w:val="single" w:color="auto" w:sz="4" w:space="0"/>
              <w:left w:val="single" w:color="auto" w:sz="4" w:space="0"/>
              <w:bottom w:val="single" w:color="auto" w:sz="4" w:space="0"/>
              <w:right w:val="single" w:color="auto" w:sz="4" w:space="0"/>
            </w:tcBorders>
            <w:vAlign w:val="center"/>
          </w:tcPr>
          <w:p w14:paraId="056A9793">
            <w:pPr>
              <w:ind w:firstLine="0" w:firstLineChars="0"/>
              <w:jc w:val="center"/>
              <w:rPr>
                <w:rFonts w:ascii="Calibri" w:hAnsi="Calibri" w:eastAsia="宋体"/>
                <w:sz w:val="21"/>
                <w:szCs w:val="21"/>
              </w:rPr>
            </w:pPr>
            <w:r>
              <w:rPr>
                <w:rFonts w:hint="eastAsia" w:ascii="宋体" w:hAnsi="宋体"/>
                <w:sz w:val="21"/>
                <w:szCs w:val="21"/>
              </w:rPr>
              <w:t>医院4</w:t>
            </w:r>
          </w:p>
        </w:tc>
        <w:tc>
          <w:tcPr>
            <w:tcW w:w="1620" w:type="pct"/>
            <w:tcBorders>
              <w:top w:val="single" w:color="auto" w:sz="4" w:space="0"/>
              <w:left w:val="single" w:color="auto" w:sz="4" w:space="0"/>
              <w:bottom w:val="single" w:color="auto" w:sz="4" w:space="0"/>
              <w:right w:val="single" w:color="auto" w:sz="4" w:space="0"/>
            </w:tcBorders>
            <w:vAlign w:val="center"/>
          </w:tcPr>
          <w:p w14:paraId="46C171D5">
            <w:pPr>
              <w:ind w:firstLine="0" w:firstLineChars="0"/>
              <w:rPr>
                <w:rFonts w:ascii="Calibri" w:hAnsi="Calibri" w:eastAsia="宋体"/>
                <w:sz w:val="21"/>
                <w:szCs w:val="21"/>
              </w:rPr>
            </w:pPr>
            <w:r>
              <w:rPr>
                <w:rFonts w:hint="eastAsia" w:ascii="宋体" w:hAnsi="宋体"/>
                <w:sz w:val="21"/>
                <w:szCs w:val="21"/>
              </w:rPr>
              <w:t>桑枝</w:t>
            </w:r>
            <w:r>
              <w:rPr>
                <w:rFonts w:hint="eastAsia" w:ascii="宋体" w:cs="Calibri"/>
                <w:sz w:val="21"/>
                <w:szCs w:val="21"/>
              </w:rPr>
              <w:t>30g</w:t>
            </w:r>
            <w:r>
              <w:rPr>
                <w:rFonts w:hint="eastAsia" w:ascii="宋体" w:hAnsi="宋体"/>
                <w:sz w:val="21"/>
                <w:szCs w:val="21"/>
              </w:rPr>
              <w:t>、桂枝</w:t>
            </w:r>
            <w:r>
              <w:rPr>
                <w:rFonts w:hint="eastAsia" w:ascii="宋体" w:cs="Calibri"/>
                <w:sz w:val="21"/>
                <w:szCs w:val="21"/>
              </w:rPr>
              <w:t>15g</w:t>
            </w:r>
            <w:r>
              <w:rPr>
                <w:rFonts w:hint="eastAsia" w:ascii="宋体" w:hAnsi="宋体"/>
                <w:sz w:val="21"/>
                <w:szCs w:val="21"/>
              </w:rPr>
              <w:t>、当归</w:t>
            </w:r>
            <w:r>
              <w:rPr>
                <w:rFonts w:hint="eastAsia" w:ascii="宋体" w:cs="Calibri"/>
                <w:sz w:val="21"/>
                <w:szCs w:val="21"/>
              </w:rPr>
              <w:t>15g</w:t>
            </w:r>
            <w:r>
              <w:rPr>
                <w:rFonts w:hint="eastAsia" w:ascii="宋体" w:hAnsi="宋体"/>
                <w:sz w:val="21"/>
                <w:szCs w:val="21"/>
              </w:rPr>
              <w:t>、白芍</w:t>
            </w:r>
            <w:r>
              <w:rPr>
                <w:rFonts w:hint="eastAsia" w:ascii="宋体" w:cs="Calibri"/>
                <w:sz w:val="21"/>
                <w:szCs w:val="21"/>
              </w:rPr>
              <w:t>20g</w:t>
            </w:r>
            <w:r>
              <w:rPr>
                <w:rFonts w:hint="eastAsia" w:ascii="宋体" w:hAnsi="宋体"/>
                <w:sz w:val="21"/>
                <w:szCs w:val="21"/>
              </w:rPr>
              <w:t>、甘草</w:t>
            </w:r>
            <w:r>
              <w:rPr>
                <w:rFonts w:hint="eastAsia" w:ascii="宋体" w:cs="Calibri"/>
                <w:sz w:val="21"/>
                <w:szCs w:val="21"/>
              </w:rPr>
              <w:t>10g</w:t>
            </w:r>
            <w:r>
              <w:rPr>
                <w:rFonts w:hint="eastAsia" w:ascii="宋体" w:hAnsi="宋体"/>
                <w:sz w:val="21"/>
                <w:szCs w:val="21"/>
              </w:rPr>
              <w:t>、木瓜</w:t>
            </w:r>
            <w:r>
              <w:rPr>
                <w:rFonts w:hint="eastAsia" w:ascii="宋体" w:cs="Calibri"/>
                <w:sz w:val="21"/>
                <w:szCs w:val="21"/>
              </w:rPr>
              <w:t>15g</w:t>
            </w:r>
            <w:r>
              <w:rPr>
                <w:rFonts w:hint="eastAsia" w:ascii="宋体" w:hAnsi="宋体"/>
                <w:sz w:val="21"/>
                <w:szCs w:val="21"/>
              </w:rPr>
              <w:t>、薏苡仁</w:t>
            </w:r>
            <w:r>
              <w:rPr>
                <w:rFonts w:hint="eastAsia" w:ascii="宋体" w:cs="Calibri"/>
                <w:sz w:val="21"/>
                <w:szCs w:val="21"/>
              </w:rPr>
              <w:t>30g</w:t>
            </w:r>
            <w:r>
              <w:rPr>
                <w:rFonts w:hint="eastAsia" w:ascii="宋体" w:hAnsi="宋体"/>
                <w:sz w:val="21"/>
                <w:szCs w:val="21"/>
              </w:rPr>
              <w:t>、防己</w:t>
            </w:r>
            <w:r>
              <w:rPr>
                <w:rFonts w:hint="eastAsia" w:ascii="宋体" w:cs="Calibri"/>
                <w:sz w:val="21"/>
                <w:szCs w:val="21"/>
              </w:rPr>
              <w:t>15g</w:t>
            </w:r>
            <w:r>
              <w:rPr>
                <w:rFonts w:hint="eastAsia" w:ascii="宋体" w:hAnsi="宋体"/>
                <w:sz w:val="21"/>
                <w:szCs w:val="21"/>
              </w:rPr>
              <w:t>、苍术</w:t>
            </w:r>
            <w:r>
              <w:rPr>
                <w:rFonts w:hint="eastAsia" w:ascii="宋体" w:cs="Calibri"/>
                <w:sz w:val="21"/>
                <w:szCs w:val="21"/>
              </w:rPr>
              <w:t>15g</w:t>
            </w:r>
            <w:r>
              <w:rPr>
                <w:rFonts w:hint="eastAsia" w:ascii="宋体" w:hAnsi="宋体"/>
                <w:sz w:val="21"/>
                <w:szCs w:val="21"/>
              </w:rPr>
              <w:t>、牛膝</w:t>
            </w:r>
            <w:r>
              <w:rPr>
                <w:rFonts w:hint="eastAsia" w:ascii="宋体" w:cs="Calibri"/>
                <w:sz w:val="21"/>
                <w:szCs w:val="21"/>
              </w:rPr>
              <w:t>15g</w:t>
            </w:r>
            <w:r>
              <w:rPr>
                <w:rFonts w:hint="eastAsia" w:ascii="宋体" w:hAnsi="宋体"/>
                <w:sz w:val="21"/>
                <w:szCs w:val="21"/>
              </w:rPr>
              <w:t>，共研粗末装入药袋备用。</w:t>
            </w:r>
          </w:p>
        </w:tc>
        <w:tc>
          <w:tcPr>
            <w:tcW w:w="1527" w:type="pct"/>
            <w:tcBorders>
              <w:top w:val="single" w:color="auto" w:sz="4" w:space="0"/>
              <w:left w:val="single" w:color="auto" w:sz="4" w:space="0"/>
              <w:bottom w:val="single" w:color="auto" w:sz="4" w:space="0"/>
              <w:right w:val="single" w:color="auto" w:sz="4" w:space="0"/>
            </w:tcBorders>
            <w:vAlign w:val="center"/>
          </w:tcPr>
          <w:p w14:paraId="19C082FE">
            <w:pPr>
              <w:ind w:firstLine="0" w:firstLineChars="0"/>
              <w:rPr>
                <w:rFonts w:ascii="Calibri" w:hAnsi="Calibri" w:eastAsia="宋体"/>
                <w:sz w:val="21"/>
                <w:szCs w:val="21"/>
              </w:rPr>
            </w:pPr>
            <w:r>
              <w:rPr>
                <w:rFonts w:hint="eastAsia" w:ascii="宋体" w:hAnsi="宋体"/>
                <w:sz w:val="21"/>
                <w:szCs w:val="21"/>
              </w:rPr>
              <w:t>独活</w:t>
            </w:r>
            <w:r>
              <w:rPr>
                <w:rFonts w:hint="eastAsia" w:ascii="宋体" w:cs="Calibri"/>
                <w:sz w:val="21"/>
                <w:szCs w:val="21"/>
              </w:rPr>
              <w:t>15g</w:t>
            </w:r>
            <w:r>
              <w:rPr>
                <w:rFonts w:hint="eastAsia" w:ascii="宋体" w:hAnsi="宋体"/>
                <w:sz w:val="21"/>
                <w:szCs w:val="21"/>
              </w:rPr>
              <w:t>、桑寄生</w:t>
            </w:r>
            <w:r>
              <w:rPr>
                <w:rFonts w:hint="eastAsia" w:ascii="宋体" w:cs="Calibri"/>
                <w:sz w:val="21"/>
                <w:szCs w:val="21"/>
              </w:rPr>
              <w:t>20g</w:t>
            </w:r>
            <w:r>
              <w:rPr>
                <w:rFonts w:hint="eastAsia" w:ascii="宋体" w:hAnsi="宋体"/>
                <w:sz w:val="21"/>
                <w:szCs w:val="21"/>
              </w:rPr>
              <w:t>、秦艽</w:t>
            </w:r>
            <w:r>
              <w:rPr>
                <w:rFonts w:hint="eastAsia" w:ascii="宋体" w:cs="Calibri"/>
                <w:sz w:val="21"/>
                <w:szCs w:val="21"/>
              </w:rPr>
              <w:t>15g</w:t>
            </w:r>
            <w:r>
              <w:rPr>
                <w:rFonts w:hint="eastAsia" w:ascii="宋体" w:hAnsi="宋体"/>
                <w:sz w:val="21"/>
                <w:szCs w:val="21"/>
              </w:rPr>
              <w:t>、防风</w:t>
            </w:r>
            <w:r>
              <w:rPr>
                <w:rFonts w:hint="eastAsia" w:ascii="宋体" w:cs="Calibri"/>
                <w:sz w:val="21"/>
                <w:szCs w:val="21"/>
              </w:rPr>
              <w:t>15g</w:t>
            </w:r>
            <w:r>
              <w:rPr>
                <w:rFonts w:hint="eastAsia" w:ascii="宋体" w:hAnsi="宋体"/>
                <w:sz w:val="21"/>
                <w:szCs w:val="21"/>
              </w:rPr>
              <w:t>、细辛</w:t>
            </w:r>
            <w:r>
              <w:rPr>
                <w:rFonts w:hint="eastAsia" w:ascii="宋体" w:cs="Calibri"/>
                <w:sz w:val="21"/>
                <w:szCs w:val="21"/>
              </w:rPr>
              <w:t>5g</w:t>
            </w:r>
            <w:r>
              <w:rPr>
                <w:rFonts w:hint="eastAsia" w:ascii="宋体" w:hAnsi="宋体"/>
                <w:sz w:val="21"/>
                <w:szCs w:val="21"/>
              </w:rPr>
              <w:t>、当归</w:t>
            </w:r>
            <w:r>
              <w:rPr>
                <w:rFonts w:hint="eastAsia" w:ascii="宋体" w:cs="Calibri"/>
                <w:sz w:val="21"/>
                <w:szCs w:val="21"/>
              </w:rPr>
              <w:t>15g</w:t>
            </w:r>
            <w:r>
              <w:rPr>
                <w:rFonts w:hint="eastAsia" w:ascii="宋体" w:hAnsi="宋体"/>
                <w:sz w:val="21"/>
                <w:szCs w:val="21"/>
              </w:rPr>
              <w:t>、白芍</w:t>
            </w:r>
            <w:r>
              <w:rPr>
                <w:rFonts w:hint="eastAsia" w:ascii="宋体" w:cs="Calibri"/>
                <w:sz w:val="21"/>
                <w:szCs w:val="21"/>
              </w:rPr>
              <w:t>15g</w:t>
            </w:r>
            <w:r>
              <w:rPr>
                <w:rFonts w:hint="eastAsia" w:ascii="宋体" w:hAnsi="宋体"/>
                <w:sz w:val="21"/>
                <w:szCs w:val="21"/>
              </w:rPr>
              <w:t>、川芎</w:t>
            </w:r>
            <w:r>
              <w:rPr>
                <w:rFonts w:hint="eastAsia" w:ascii="宋体" w:cs="Calibri"/>
                <w:sz w:val="21"/>
                <w:szCs w:val="21"/>
              </w:rPr>
              <w:t>10g</w:t>
            </w:r>
            <w:r>
              <w:rPr>
                <w:rFonts w:hint="eastAsia" w:ascii="宋体" w:hAnsi="宋体"/>
                <w:sz w:val="21"/>
                <w:szCs w:val="21"/>
              </w:rPr>
              <w:t>、熟地</w:t>
            </w:r>
            <w:r>
              <w:rPr>
                <w:rFonts w:hint="eastAsia" w:ascii="宋体" w:cs="Calibri"/>
                <w:sz w:val="21"/>
                <w:szCs w:val="21"/>
              </w:rPr>
              <w:t>20g</w:t>
            </w:r>
            <w:r>
              <w:rPr>
                <w:rFonts w:hint="eastAsia" w:ascii="宋体" w:hAnsi="宋体"/>
                <w:sz w:val="21"/>
                <w:szCs w:val="21"/>
              </w:rPr>
              <w:t>、杜仲</w:t>
            </w:r>
            <w:r>
              <w:rPr>
                <w:rFonts w:hint="eastAsia" w:ascii="宋体" w:cs="Calibri"/>
                <w:sz w:val="21"/>
                <w:szCs w:val="21"/>
              </w:rPr>
              <w:t>15g</w:t>
            </w:r>
            <w:r>
              <w:rPr>
                <w:rFonts w:hint="eastAsia" w:ascii="宋体" w:hAnsi="宋体"/>
                <w:sz w:val="21"/>
                <w:szCs w:val="21"/>
              </w:rPr>
              <w:t>、牛膝</w:t>
            </w:r>
            <w:r>
              <w:rPr>
                <w:rFonts w:hint="eastAsia" w:ascii="宋体" w:cs="Calibri"/>
                <w:sz w:val="21"/>
                <w:szCs w:val="21"/>
              </w:rPr>
              <w:t>15g</w:t>
            </w:r>
            <w:r>
              <w:rPr>
                <w:rFonts w:hint="eastAsia" w:ascii="宋体" w:hAnsi="宋体"/>
                <w:sz w:val="21"/>
                <w:szCs w:val="21"/>
              </w:rPr>
              <w:t>、党参</w:t>
            </w:r>
            <w:r>
              <w:rPr>
                <w:rFonts w:hint="eastAsia" w:ascii="宋体" w:cs="Calibri"/>
                <w:sz w:val="21"/>
                <w:szCs w:val="21"/>
              </w:rPr>
              <w:t>20g</w:t>
            </w:r>
            <w:r>
              <w:rPr>
                <w:rFonts w:hint="eastAsia" w:ascii="宋体" w:hAnsi="宋体"/>
                <w:sz w:val="21"/>
                <w:szCs w:val="21"/>
              </w:rPr>
              <w:t>、茯苓</w:t>
            </w:r>
            <w:r>
              <w:rPr>
                <w:rFonts w:hint="eastAsia" w:ascii="宋体" w:cs="Calibri"/>
                <w:sz w:val="21"/>
                <w:szCs w:val="21"/>
              </w:rPr>
              <w:t>20g</w:t>
            </w:r>
            <w:r>
              <w:rPr>
                <w:rFonts w:hint="eastAsia" w:ascii="宋体" w:hAnsi="宋体"/>
                <w:sz w:val="21"/>
                <w:szCs w:val="21"/>
              </w:rPr>
              <w:t>、甘草</w:t>
            </w:r>
            <w:r>
              <w:rPr>
                <w:rFonts w:hint="eastAsia" w:ascii="宋体" w:cs="Calibri"/>
                <w:sz w:val="21"/>
                <w:szCs w:val="21"/>
              </w:rPr>
              <w:t>10g</w:t>
            </w:r>
            <w:r>
              <w:rPr>
                <w:rFonts w:hint="eastAsia" w:ascii="宋体" w:hAnsi="宋体"/>
                <w:sz w:val="21"/>
                <w:szCs w:val="21"/>
              </w:rPr>
              <w:t>，共研粗末装入药袋备用。</w:t>
            </w:r>
          </w:p>
        </w:tc>
        <w:tc>
          <w:tcPr>
            <w:tcW w:w="593" w:type="pct"/>
            <w:tcBorders>
              <w:top w:val="single" w:color="auto" w:sz="4" w:space="0"/>
              <w:left w:val="single" w:color="auto" w:sz="4" w:space="0"/>
              <w:bottom w:val="single" w:color="auto" w:sz="4" w:space="0"/>
              <w:right w:val="single" w:color="auto" w:sz="4" w:space="0"/>
            </w:tcBorders>
            <w:vAlign w:val="center"/>
          </w:tcPr>
          <w:p w14:paraId="79202DCB">
            <w:pPr>
              <w:ind w:firstLine="0" w:firstLineChars="0"/>
              <w:rPr>
                <w:rFonts w:ascii="Calibri" w:hAnsi="Calibri" w:eastAsia="宋体"/>
                <w:sz w:val="21"/>
                <w:szCs w:val="21"/>
              </w:rPr>
            </w:pPr>
            <w:r>
              <w:rPr>
                <w:rFonts w:hint="eastAsia" w:ascii="宋体" w:cs="Calibri"/>
                <w:sz w:val="21"/>
                <w:szCs w:val="21"/>
              </w:rPr>
              <w:t>50</w:t>
            </w:r>
            <w:r>
              <w:rPr>
                <w:rFonts w:hint="eastAsia" w:ascii="宋体" w:hAnsi="宋体"/>
                <w:sz w:val="21"/>
                <w:szCs w:val="21"/>
              </w:rPr>
              <w:t>℃～</w:t>
            </w:r>
            <w:r>
              <w:rPr>
                <w:rFonts w:hint="eastAsia" w:ascii="宋体" w:cs="Calibri"/>
                <w:sz w:val="21"/>
                <w:szCs w:val="21"/>
              </w:rPr>
              <w:t>70</w:t>
            </w:r>
            <w:r>
              <w:rPr>
                <w:rFonts w:hint="eastAsia" w:ascii="宋体" w:hAnsi="宋体"/>
                <w:sz w:val="21"/>
                <w:szCs w:val="21"/>
              </w:rPr>
              <w:t>℃</w:t>
            </w:r>
          </w:p>
        </w:tc>
        <w:tc>
          <w:tcPr>
            <w:tcW w:w="741" w:type="pct"/>
            <w:tcBorders>
              <w:top w:val="single" w:color="auto" w:sz="4" w:space="0"/>
              <w:left w:val="single" w:color="auto" w:sz="4" w:space="0"/>
              <w:bottom w:val="single" w:color="auto" w:sz="4" w:space="0"/>
              <w:right w:val="single" w:color="auto" w:sz="4" w:space="0"/>
            </w:tcBorders>
            <w:vAlign w:val="center"/>
          </w:tcPr>
          <w:p w14:paraId="6EA459D6">
            <w:pPr>
              <w:ind w:firstLine="0" w:firstLineChars="0"/>
              <w:rPr>
                <w:rFonts w:ascii="Calibri" w:hAnsi="Calibri" w:eastAsia="宋体"/>
                <w:sz w:val="21"/>
                <w:szCs w:val="21"/>
              </w:rPr>
            </w:pPr>
            <w:r>
              <w:rPr>
                <w:rFonts w:hint="eastAsia" w:ascii="宋体" w:cs="Calibri"/>
                <w:sz w:val="21"/>
                <w:szCs w:val="21"/>
              </w:rPr>
              <w:t>30</w:t>
            </w:r>
            <w:r>
              <w:rPr>
                <w:rFonts w:ascii="宋体" w:cs="Calibri"/>
                <w:sz w:val="21"/>
                <w:szCs w:val="21"/>
                <w:vertAlign w:val="subscript"/>
              </w:rPr>
              <w:t xml:space="preserve"> </w:t>
            </w:r>
            <w:r>
              <w:rPr>
                <w:rFonts w:hint="eastAsia" w:ascii="宋体" w:cs="Calibri"/>
                <w:sz w:val="21"/>
                <w:szCs w:val="21"/>
              </w:rPr>
              <w:t>min</w:t>
            </w:r>
            <w:r>
              <w:rPr>
                <w:rFonts w:hint="eastAsia" w:ascii="宋体" w:hAnsi="宋体"/>
                <w:sz w:val="21"/>
                <w:szCs w:val="21"/>
              </w:rPr>
              <w:t>～</w:t>
            </w:r>
            <w:r>
              <w:rPr>
                <w:rFonts w:hint="eastAsia" w:ascii="宋体" w:cs="Calibri"/>
                <w:sz w:val="21"/>
                <w:szCs w:val="21"/>
              </w:rPr>
              <w:t>45</w:t>
            </w:r>
            <w:r>
              <w:rPr>
                <w:rFonts w:ascii="宋体" w:cs="Calibri"/>
                <w:sz w:val="21"/>
                <w:szCs w:val="21"/>
                <w:vertAlign w:val="subscript"/>
              </w:rPr>
              <w:t xml:space="preserve"> </w:t>
            </w:r>
            <w:r>
              <w:rPr>
                <w:rFonts w:hint="eastAsia" w:ascii="宋体" w:cs="Calibri"/>
                <w:sz w:val="21"/>
                <w:szCs w:val="21"/>
              </w:rPr>
              <w:t>min</w:t>
            </w:r>
          </w:p>
        </w:tc>
      </w:tr>
      <w:tr w14:paraId="633953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519" w:type="pct"/>
            <w:tcBorders>
              <w:top w:val="single" w:color="auto" w:sz="4" w:space="0"/>
              <w:left w:val="single" w:color="auto" w:sz="4" w:space="0"/>
              <w:bottom w:val="single" w:color="auto" w:sz="4" w:space="0"/>
              <w:right w:val="single" w:color="auto" w:sz="4" w:space="0"/>
            </w:tcBorders>
            <w:vAlign w:val="center"/>
          </w:tcPr>
          <w:p w14:paraId="173F5A16">
            <w:pPr>
              <w:ind w:firstLine="0" w:firstLineChars="0"/>
              <w:jc w:val="center"/>
              <w:rPr>
                <w:rFonts w:ascii="Calibri" w:hAnsi="Calibri" w:eastAsia="宋体"/>
                <w:sz w:val="21"/>
                <w:szCs w:val="21"/>
              </w:rPr>
            </w:pPr>
            <w:r>
              <w:rPr>
                <w:rFonts w:hint="eastAsia" w:ascii="宋体" w:hAnsi="宋体"/>
                <w:sz w:val="21"/>
                <w:szCs w:val="21"/>
              </w:rPr>
              <w:t>医院5</w:t>
            </w:r>
          </w:p>
        </w:tc>
        <w:tc>
          <w:tcPr>
            <w:tcW w:w="1620" w:type="pct"/>
            <w:tcBorders>
              <w:top w:val="single" w:color="auto" w:sz="4" w:space="0"/>
              <w:left w:val="single" w:color="auto" w:sz="4" w:space="0"/>
              <w:bottom w:val="single" w:color="auto" w:sz="4" w:space="0"/>
              <w:right w:val="single" w:color="auto" w:sz="4" w:space="0"/>
            </w:tcBorders>
            <w:vAlign w:val="center"/>
          </w:tcPr>
          <w:p w14:paraId="0017C3D5">
            <w:pPr>
              <w:ind w:firstLine="0" w:firstLineChars="0"/>
              <w:rPr>
                <w:rFonts w:ascii="Calibri" w:hAnsi="Calibri" w:eastAsia="宋体"/>
                <w:sz w:val="21"/>
                <w:szCs w:val="21"/>
              </w:rPr>
            </w:pPr>
            <w:r>
              <w:rPr>
                <w:rFonts w:hint="eastAsia" w:ascii="宋体" w:hAnsi="宋体"/>
                <w:sz w:val="21"/>
                <w:szCs w:val="21"/>
              </w:rPr>
              <w:t>伸筋草</w:t>
            </w:r>
            <w:r>
              <w:rPr>
                <w:rFonts w:hint="eastAsia" w:ascii="宋体" w:cs="Calibri"/>
                <w:sz w:val="21"/>
                <w:szCs w:val="21"/>
              </w:rPr>
              <w:t>20g</w:t>
            </w:r>
            <w:r>
              <w:rPr>
                <w:rFonts w:hint="eastAsia" w:ascii="宋体" w:hAnsi="宋体"/>
                <w:sz w:val="21"/>
                <w:szCs w:val="21"/>
              </w:rPr>
              <w:t>、威灵仙</w:t>
            </w:r>
            <w:r>
              <w:rPr>
                <w:rFonts w:hint="eastAsia" w:ascii="宋体" w:cs="Calibri"/>
                <w:sz w:val="21"/>
                <w:szCs w:val="21"/>
              </w:rPr>
              <w:t>15g</w:t>
            </w:r>
            <w:r>
              <w:rPr>
                <w:rFonts w:hint="eastAsia" w:ascii="宋体" w:hAnsi="宋体"/>
                <w:sz w:val="21"/>
                <w:szCs w:val="21"/>
              </w:rPr>
              <w:t>、鸡血藤</w:t>
            </w:r>
            <w:r>
              <w:rPr>
                <w:rFonts w:hint="eastAsia" w:ascii="宋体" w:cs="Calibri"/>
                <w:sz w:val="21"/>
                <w:szCs w:val="21"/>
              </w:rPr>
              <w:t>30g</w:t>
            </w:r>
            <w:r>
              <w:rPr>
                <w:rFonts w:hint="eastAsia" w:ascii="宋体" w:hAnsi="宋体"/>
                <w:sz w:val="21"/>
                <w:szCs w:val="21"/>
              </w:rPr>
              <w:t>、海风藤</w:t>
            </w:r>
            <w:r>
              <w:rPr>
                <w:rFonts w:hint="eastAsia" w:ascii="宋体" w:cs="Calibri"/>
                <w:sz w:val="21"/>
                <w:szCs w:val="21"/>
              </w:rPr>
              <w:t>20g</w:t>
            </w:r>
            <w:r>
              <w:rPr>
                <w:rFonts w:hint="eastAsia" w:ascii="宋体" w:hAnsi="宋体"/>
                <w:sz w:val="21"/>
                <w:szCs w:val="21"/>
              </w:rPr>
              <w:t>、络石藤</w:t>
            </w:r>
            <w:r>
              <w:rPr>
                <w:rFonts w:hint="eastAsia" w:ascii="宋体" w:cs="Calibri"/>
                <w:sz w:val="21"/>
                <w:szCs w:val="21"/>
              </w:rPr>
              <w:t>20g</w:t>
            </w:r>
            <w:r>
              <w:rPr>
                <w:rFonts w:hint="eastAsia" w:ascii="宋体" w:hAnsi="宋体"/>
                <w:sz w:val="21"/>
                <w:szCs w:val="21"/>
              </w:rPr>
              <w:t>、透骨草</w:t>
            </w:r>
            <w:r>
              <w:rPr>
                <w:rFonts w:hint="eastAsia" w:ascii="宋体" w:cs="Calibri"/>
                <w:sz w:val="21"/>
                <w:szCs w:val="21"/>
              </w:rPr>
              <w:t>20g</w:t>
            </w:r>
            <w:r>
              <w:rPr>
                <w:rFonts w:hint="eastAsia" w:ascii="宋体" w:hAnsi="宋体"/>
                <w:sz w:val="21"/>
                <w:szCs w:val="21"/>
              </w:rPr>
              <w:t>、千年健</w:t>
            </w:r>
            <w:r>
              <w:rPr>
                <w:rFonts w:hint="eastAsia" w:ascii="宋体" w:cs="Calibri"/>
                <w:sz w:val="21"/>
                <w:szCs w:val="21"/>
              </w:rPr>
              <w:t>15g</w:t>
            </w:r>
            <w:r>
              <w:rPr>
                <w:rFonts w:hint="eastAsia" w:ascii="宋体" w:hAnsi="宋体"/>
                <w:sz w:val="21"/>
                <w:szCs w:val="21"/>
              </w:rPr>
              <w:t>、独活</w:t>
            </w:r>
            <w:r>
              <w:rPr>
                <w:rFonts w:hint="eastAsia" w:ascii="宋体" w:cs="Calibri"/>
                <w:sz w:val="21"/>
                <w:szCs w:val="21"/>
              </w:rPr>
              <w:t>15g</w:t>
            </w:r>
            <w:r>
              <w:rPr>
                <w:rFonts w:hint="eastAsia" w:ascii="宋体" w:hAnsi="宋体"/>
                <w:sz w:val="21"/>
                <w:szCs w:val="21"/>
              </w:rPr>
              <w:t>、杜仲</w:t>
            </w:r>
            <w:r>
              <w:rPr>
                <w:rFonts w:hint="eastAsia" w:ascii="宋体" w:cs="Calibri"/>
                <w:sz w:val="21"/>
                <w:szCs w:val="21"/>
              </w:rPr>
              <w:t>15g</w:t>
            </w:r>
            <w:r>
              <w:rPr>
                <w:rFonts w:hint="eastAsia" w:ascii="宋体" w:hAnsi="宋体"/>
                <w:sz w:val="21"/>
                <w:szCs w:val="21"/>
              </w:rPr>
              <w:t>、续断</w:t>
            </w:r>
            <w:r>
              <w:rPr>
                <w:rFonts w:hint="eastAsia" w:ascii="宋体" w:cs="Calibri"/>
                <w:sz w:val="21"/>
                <w:szCs w:val="21"/>
              </w:rPr>
              <w:t>15g</w:t>
            </w:r>
            <w:r>
              <w:rPr>
                <w:rFonts w:hint="eastAsia" w:ascii="宋体" w:hAnsi="宋体"/>
                <w:sz w:val="21"/>
                <w:szCs w:val="21"/>
              </w:rPr>
              <w:t>，共研粗末装入药袋备用。</w:t>
            </w:r>
          </w:p>
        </w:tc>
        <w:tc>
          <w:tcPr>
            <w:tcW w:w="1527" w:type="pct"/>
            <w:tcBorders>
              <w:top w:val="single" w:color="auto" w:sz="4" w:space="0"/>
              <w:left w:val="single" w:color="auto" w:sz="4" w:space="0"/>
              <w:bottom w:val="single" w:color="auto" w:sz="4" w:space="0"/>
              <w:right w:val="single" w:color="auto" w:sz="4" w:space="0"/>
            </w:tcBorders>
            <w:vAlign w:val="center"/>
          </w:tcPr>
          <w:p w14:paraId="75FADD29">
            <w:pPr>
              <w:ind w:firstLine="0" w:firstLineChars="0"/>
              <w:rPr>
                <w:rFonts w:ascii="Calibri" w:hAnsi="Calibri" w:eastAsia="宋体"/>
                <w:sz w:val="21"/>
                <w:szCs w:val="21"/>
              </w:rPr>
            </w:pPr>
            <w:r>
              <w:rPr>
                <w:rFonts w:hint="eastAsia" w:ascii="宋体" w:hAnsi="宋体"/>
                <w:sz w:val="21"/>
                <w:szCs w:val="21"/>
              </w:rPr>
              <w:t>黄芪</w:t>
            </w:r>
            <w:r>
              <w:rPr>
                <w:rFonts w:hint="eastAsia" w:ascii="宋体" w:cs="Calibri"/>
                <w:sz w:val="21"/>
                <w:szCs w:val="21"/>
              </w:rPr>
              <w:t>30g</w:t>
            </w:r>
            <w:r>
              <w:rPr>
                <w:rFonts w:hint="eastAsia" w:ascii="宋体" w:hAnsi="宋体"/>
                <w:sz w:val="21"/>
                <w:szCs w:val="21"/>
              </w:rPr>
              <w:t>、当归</w:t>
            </w:r>
            <w:r>
              <w:rPr>
                <w:rFonts w:hint="eastAsia" w:ascii="宋体" w:cs="Calibri"/>
                <w:sz w:val="21"/>
                <w:szCs w:val="21"/>
              </w:rPr>
              <w:t>20g</w:t>
            </w:r>
            <w:r>
              <w:rPr>
                <w:rFonts w:hint="eastAsia" w:ascii="宋体" w:hAnsi="宋体"/>
                <w:sz w:val="21"/>
                <w:szCs w:val="21"/>
              </w:rPr>
              <w:t>、白芍</w:t>
            </w:r>
            <w:r>
              <w:rPr>
                <w:rFonts w:hint="eastAsia" w:ascii="宋体" w:cs="Calibri"/>
                <w:sz w:val="21"/>
                <w:szCs w:val="21"/>
              </w:rPr>
              <w:t>15g</w:t>
            </w:r>
            <w:r>
              <w:rPr>
                <w:rFonts w:hint="eastAsia" w:ascii="宋体" w:hAnsi="宋体"/>
                <w:sz w:val="21"/>
                <w:szCs w:val="21"/>
              </w:rPr>
              <w:t>、熟地</w:t>
            </w:r>
            <w:r>
              <w:rPr>
                <w:rFonts w:hint="eastAsia" w:ascii="宋体" w:cs="Calibri"/>
                <w:sz w:val="21"/>
                <w:szCs w:val="21"/>
              </w:rPr>
              <w:t>15g</w:t>
            </w:r>
            <w:r>
              <w:rPr>
                <w:rFonts w:hint="eastAsia" w:ascii="宋体" w:hAnsi="宋体"/>
                <w:sz w:val="21"/>
                <w:szCs w:val="21"/>
              </w:rPr>
              <w:t>、川芎</w:t>
            </w:r>
            <w:r>
              <w:rPr>
                <w:rFonts w:hint="eastAsia" w:ascii="宋体" w:cs="Calibri"/>
                <w:sz w:val="21"/>
                <w:szCs w:val="21"/>
              </w:rPr>
              <w:t>10g</w:t>
            </w:r>
            <w:r>
              <w:rPr>
                <w:rFonts w:hint="eastAsia" w:ascii="宋体" w:hAnsi="宋体"/>
                <w:sz w:val="21"/>
                <w:szCs w:val="21"/>
              </w:rPr>
              <w:t>、杜仲</w:t>
            </w:r>
            <w:r>
              <w:rPr>
                <w:rFonts w:hint="eastAsia" w:ascii="宋体" w:cs="Calibri"/>
                <w:sz w:val="21"/>
                <w:szCs w:val="21"/>
              </w:rPr>
              <w:t>15g</w:t>
            </w:r>
            <w:r>
              <w:rPr>
                <w:rFonts w:hint="eastAsia" w:ascii="宋体" w:hAnsi="宋体"/>
                <w:sz w:val="21"/>
                <w:szCs w:val="21"/>
              </w:rPr>
              <w:t>、牛膝</w:t>
            </w:r>
            <w:r>
              <w:rPr>
                <w:rFonts w:hint="eastAsia" w:ascii="宋体" w:cs="Calibri"/>
                <w:sz w:val="21"/>
                <w:szCs w:val="21"/>
              </w:rPr>
              <w:t>15g</w:t>
            </w:r>
            <w:r>
              <w:rPr>
                <w:rFonts w:hint="eastAsia" w:ascii="宋体" w:hAnsi="宋体"/>
                <w:sz w:val="21"/>
                <w:szCs w:val="21"/>
              </w:rPr>
              <w:t>、桑寄生</w:t>
            </w:r>
            <w:r>
              <w:rPr>
                <w:rFonts w:hint="eastAsia" w:ascii="宋体" w:cs="Calibri"/>
                <w:sz w:val="21"/>
                <w:szCs w:val="21"/>
              </w:rPr>
              <w:t>20g</w:t>
            </w:r>
            <w:r>
              <w:rPr>
                <w:rFonts w:hint="eastAsia" w:ascii="宋体" w:hAnsi="宋体"/>
                <w:sz w:val="21"/>
                <w:szCs w:val="21"/>
              </w:rPr>
              <w:t>、独活</w:t>
            </w:r>
            <w:r>
              <w:rPr>
                <w:rFonts w:hint="eastAsia" w:ascii="宋体" w:cs="Calibri"/>
                <w:sz w:val="21"/>
                <w:szCs w:val="21"/>
              </w:rPr>
              <w:t>15g</w:t>
            </w:r>
            <w:r>
              <w:rPr>
                <w:rFonts w:hint="eastAsia" w:ascii="宋体" w:hAnsi="宋体"/>
                <w:sz w:val="21"/>
                <w:szCs w:val="21"/>
              </w:rPr>
              <w:t>、威灵仙</w:t>
            </w:r>
            <w:r>
              <w:rPr>
                <w:rFonts w:hint="eastAsia" w:ascii="宋体" w:cs="Calibri"/>
                <w:sz w:val="21"/>
                <w:szCs w:val="21"/>
              </w:rPr>
              <w:t>15g</w:t>
            </w:r>
            <w:r>
              <w:rPr>
                <w:rFonts w:hint="eastAsia" w:ascii="宋体" w:hAnsi="宋体"/>
                <w:sz w:val="21"/>
                <w:szCs w:val="21"/>
              </w:rPr>
              <w:t>、鸡血藤</w:t>
            </w:r>
            <w:r>
              <w:rPr>
                <w:rFonts w:hint="eastAsia" w:ascii="宋体" w:cs="Calibri"/>
                <w:sz w:val="21"/>
                <w:szCs w:val="21"/>
              </w:rPr>
              <w:t>30g</w:t>
            </w:r>
            <w:r>
              <w:rPr>
                <w:rFonts w:hint="eastAsia" w:ascii="宋体" w:hAnsi="宋体"/>
                <w:sz w:val="21"/>
                <w:szCs w:val="21"/>
              </w:rPr>
              <w:t>、伸筋草</w:t>
            </w:r>
            <w:r>
              <w:rPr>
                <w:rFonts w:hint="eastAsia" w:ascii="宋体" w:cs="Calibri"/>
                <w:sz w:val="21"/>
                <w:szCs w:val="21"/>
              </w:rPr>
              <w:t>20g</w:t>
            </w:r>
            <w:r>
              <w:rPr>
                <w:rFonts w:hint="eastAsia" w:ascii="宋体" w:hAnsi="宋体"/>
                <w:sz w:val="21"/>
                <w:szCs w:val="21"/>
              </w:rPr>
              <w:t>，共研粗末装入药袋备用。</w:t>
            </w:r>
          </w:p>
        </w:tc>
        <w:tc>
          <w:tcPr>
            <w:tcW w:w="593" w:type="pct"/>
            <w:tcBorders>
              <w:top w:val="single" w:color="auto" w:sz="4" w:space="0"/>
              <w:left w:val="single" w:color="auto" w:sz="4" w:space="0"/>
              <w:bottom w:val="single" w:color="auto" w:sz="4" w:space="0"/>
              <w:right w:val="single" w:color="auto" w:sz="4" w:space="0"/>
            </w:tcBorders>
            <w:vAlign w:val="center"/>
          </w:tcPr>
          <w:p w14:paraId="45562578">
            <w:pPr>
              <w:ind w:firstLine="0" w:firstLineChars="0"/>
              <w:rPr>
                <w:rFonts w:ascii="Calibri" w:hAnsi="Calibri" w:eastAsia="宋体"/>
                <w:sz w:val="21"/>
                <w:szCs w:val="21"/>
              </w:rPr>
            </w:pPr>
            <w:r>
              <w:rPr>
                <w:rFonts w:hint="eastAsia" w:ascii="宋体" w:cs="Calibri"/>
                <w:sz w:val="21"/>
                <w:szCs w:val="21"/>
              </w:rPr>
              <w:t>50</w:t>
            </w:r>
            <w:r>
              <w:rPr>
                <w:rFonts w:hint="eastAsia" w:ascii="宋体" w:hAnsi="宋体"/>
                <w:sz w:val="21"/>
                <w:szCs w:val="21"/>
              </w:rPr>
              <w:t>℃～</w:t>
            </w:r>
            <w:r>
              <w:rPr>
                <w:rFonts w:hint="eastAsia" w:ascii="宋体" w:cs="Calibri"/>
                <w:sz w:val="21"/>
                <w:szCs w:val="21"/>
              </w:rPr>
              <w:t>70</w:t>
            </w:r>
            <w:r>
              <w:rPr>
                <w:rFonts w:hint="eastAsia" w:ascii="宋体" w:hAnsi="宋体"/>
                <w:sz w:val="21"/>
                <w:szCs w:val="21"/>
              </w:rPr>
              <w:t>℃</w:t>
            </w:r>
          </w:p>
        </w:tc>
        <w:tc>
          <w:tcPr>
            <w:tcW w:w="741" w:type="pct"/>
            <w:tcBorders>
              <w:top w:val="single" w:color="auto" w:sz="4" w:space="0"/>
              <w:left w:val="single" w:color="auto" w:sz="4" w:space="0"/>
              <w:bottom w:val="single" w:color="auto" w:sz="4" w:space="0"/>
              <w:right w:val="single" w:color="auto" w:sz="4" w:space="0"/>
            </w:tcBorders>
            <w:vAlign w:val="center"/>
          </w:tcPr>
          <w:p w14:paraId="0E8D0469">
            <w:pPr>
              <w:ind w:firstLine="0" w:firstLineChars="0"/>
              <w:rPr>
                <w:rFonts w:ascii="Calibri" w:hAnsi="Calibri" w:eastAsia="宋体"/>
                <w:sz w:val="21"/>
                <w:szCs w:val="21"/>
              </w:rPr>
            </w:pPr>
            <w:r>
              <w:rPr>
                <w:rFonts w:hint="eastAsia" w:ascii="宋体" w:cs="Calibri"/>
                <w:sz w:val="21"/>
                <w:szCs w:val="21"/>
              </w:rPr>
              <w:t>30</w:t>
            </w:r>
            <w:r>
              <w:rPr>
                <w:rFonts w:ascii="宋体" w:cs="Calibri"/>
                <w:sz w:val="21"/>
                <w:szCs w:val="21"/>
                <w:vertAlign w:val="subscript"/>
              </w:rPr>
              <w:t xml:space="preserve"> </w:t>
            </w:r>
            <w:r>
              <w:rPr>
                <w:rFonts w:hint="eastAsia" w:ascii="宋体" w:cs="Calibri"/>
                <w:sz w:val="21"/>
                <w:szCs w:val="21"/>
              </w:rPr>
              <w:t>min</w:t>
            </w:r>
            <w:r>
              <w:rPr>
                <w:rFonts w:hint="eastAsia" w:ascii="宋体" w:hAnsi="宋体"/>
                <w:sz w:val="21"/>
                <w:szCs w:val="21"/>
              </w:rPr>
              <w:t>～</w:t>
            </w:r>
            <w:r>
              <w:rPr>
                <w:rFonts w:hint="eastAsia" w:ascii="宋体" w:cs="Calibri"/>
                <w:sz w:val="21"/>
                <w:szCs w:val="21"/>
              </w:rPr>
              <w:t>45</w:t>
            </w:r>
            <w:r>
              <w:rPr>
                <w:rFonts w:ascii="宋体" w:cs="Calibri"/>
                <w:sz w:val="21"/>
                <w:szCs w:val="21"/>
                <w:vertAlign w:val="subscript"/>
              </w:rPr>
              <w:t xml:space="preserve"> </w:t>
            </w:r>
            <w:r>
              <w:rPr>
                <w:rFonts w:hint="eastAsia" w:ascii="宋体" w:cs="Calibri"/>
                <w:sz w:val="21"/>
                <w:szCs w:val="21"/>
              </w:rPr>
              <w:t>min</w:t>
            </w:r>
          </w:p>
        </w:tc>
      </w:tr>
    </w:tbl>
    <w:p w14:paraId="45A15766">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由表1可知，在硬瘫用药上，五家医院的均围绕“熄风止痉、祛瘀通络”展开，但在具体药物选择上各有侧重。因此，标准条款在制定时，以医院1的基础方为核心，同时保留了加减药物的灵活性（如肝阳上亢加天麻、菊花；肢体拘挛加伸筋草、独活等），使标准既能体现主方的规范性，又能兼容各家临床经验，增强了标准的适用性。</w:t>
      </w:r>
    </w:p>
    <w:p w14:paraId="658C3F5A">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在软瘫用药上，五家医院的均体现“益气活血、温经通络”的核心治则，但侧重点不同，有医院注重用黄芪，强调补气以行血；也有医院注重补益肝肾；也有以温经通络为特色的。因此，标准条款以医院1的基础方为主方，同时设置加减药物机制（气虚加牛大力、痰湿加苍术半夏、瘀血加桃仁红花鸡血藤），充分吸纳了各家经验，实现了“同病异治”的个体化原则在标准中的体现。</w:t>
      </w:r>
    </w:p>
    <w:p w14:paraId="6638C9E5">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4、药袋准备</w:t>
      </w:r>
    </w:p>
    <w:p w14:paraId="5EA9316F">
      <w:pPr>
        <w:autoSpaceDE w:val="0"/>
        <w:autoSpaceDN w:val="0"/>
        <w:adjustRightInd w:val="0"/>
        <w:spacing w:line="560" w:lineRule="exact"/>
        <w:ind w:firstLine="640"/>
        <w:rPr>
          <w:rFonts w:hint="eastAsia" w:ascii="仿宋_GB2312" w:hAnsi="黑体" w:cs="仿宋_GB2312"/>
          <w:szCs w:val="32"/>
        </w:rPr>
      </w:pPr>
      <w:r>
        <w:rPr>
          <w:rFonts w:ascii="Segoe UI" w:hAnsi="Segoe UI" w:cs="Segoe UI"/>
          <w:color w:val="0F1115"/>
          <w:shd w:val="clear" w:color="auto" w:fill="FFFFFF"/>
        </w:rPr>
        <w:t>药袋的制备直接关系到药物有效成分的透皮吸收与温热刺激的协同效应。煮沸时间和温度控制兼顾药效释放与安全防护——煮沸时间过短药效释放不充分，过长则可能破坏有效成分；温度控制在</w:t>
      </w:r>
      <w:r>
        <w:rPr>
          <w:rFonts w:hint="eastAsia"/>
          <w:color w:val="000000" w:themeColor="text1"/>
          <w14:textFill>
            <w14:solidFill>
              <w14:schemeClr w14:val="tx1"/>
            </w14:solidFill>
          </w14:textFill>
        </w:rPr>
        <w:t>50</w:t>
      </w:r>
      <w:r>
        <w:rPr>
          <w:rFonts w:hint="eastAsia"/>
          <w:color w:val="000000" w:themeColor="text1"/>
          <w:vertAlign w:val="subscript"/>
          <w14:textFill>
            <w14:solidFill>
              <w14:schemeClr w14:val="tx1"/>
            </w14:solidFill>
          </w14:textFill>
        </w:rPr>
        <w:t xml:space="preserve"> </w:t>
      </w:r>
      <w:r>
        <w:rPr>
          <w:rFonts w:hint="eastAsia"/>
          <w:color w:val="000000" w:themeColor="text1"/>
          <w14:textFill>
            <w14:solidFill>
              <w14:schemeClr w14:val="tx1"/>
            </w14:solidFill>
          </w14:textFill>
        </w:rPr>
        <w:t>℃～70</w:t>
      </w:r>
      <w:r>
        <w:rPr>
          <w:rFonts w:hint="eastAsia"/>
          <w:color w:val="000000" w:themeColor="text1"/>
          <w:vertAlign w:val="subscript"/>
          <w14:textFill>
            <w14:solidFill>
              <w14:schemeClr w14:val="tx1"/>
            </w14:solidFill>
          </w14:textFill>
        </w:rPr>
        <w:t xml:space="preserve"> </w:t>
      </w:r>
      <w:r>
        <w:rPr>
          <w:rFonts w:hint="eastAsia"/>
          <w:color w:val="000000" w:themeColor="text1"/>
          <w14:textFill>
            <w14:solidFill>
              <w14:schemeClr w14:val="tx1"/>
            </w14:solidFill>
          </w14:textFill>
        </w:rPr>
        <w:t>℃</w:t>
      </w:r>
      <w:r>
        <w:rPr>
          <w:rFonts w:ascii="Segoe UI" w:hAnsi="Segoe UI" w:cs="Segoe UI"/>
          <w:color w:val="0F1115"/>
          <w:shd w:val="clear" w:color="auto" w:fill="FFFFFF"/>
        </w:rPr>
        <w:t>既保证温热效应，又避免烫伤。</w:t>
      </w:r>
      <w:r>
        <w:rPr>
          <w:rFonts w:hint="eastAsia" w:ascii="仿宋_GB2312" w:hAnsi="黑体" w:cs="仿宋_GB2312"/>
          <w:szCs w:val="32"/>
        </w:rPr>
        <w:t>药袋准备主要依据中药煎煮规范、临床经验数据及专利技术方案。参照《中药汤剂煎煮规范》关于煎煮时间与火候的要求，且结合临床实践确定煮沸5～8分钟，既可最大限度溶出有效成分，又可避免冰片等挥发性成分过度散失。药袋固定于药棒的技术方案源于国家授权专利“一种中草药循经推按按摩棒”（ZL201210015272.X），确保器具与药物载体的标准化。</w:t>
      </w:r>
    </w:p>
    <w:p w14:paraId="0ADD4B08">
      <w:pPr>
        <w:autoSpaceDE w:val="0"/>
        <w:autoSpaceDN w:val="0"/>
        <w:adjustRightInd w:val="0"/>
        <w:spacing w:line="560" w:lineRule="exact"/>
        <w:ind w:firstLine="640"/>
        <w:rPr>
          <w:rFonts w:hint="eastAsia" w:ascii="仿宋_GB2312" w:hAnsi="黑体" w:cs="仿宋_GB2312"/>
          <w:szCs w:val="32"/>
        </w:rPr>
      </w:pPr>
    </w:p>
    <w:p w14:paraId="049A9F30">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5、患者准备</w:t>
      </w:r>
    </w:p>
    <w:p w14:paraId="3EE97A14">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患者状态直接影响治疗的顺利进行与效果。排空二便可避免操作中断；体位选择确保施术部位充分暴露且患者放松；暴露部位与保暖的平衡体现中医“防风寒”原则。因此，规定了</w:t>
      </w:r>
      <w:r>
        <w:rPr>
          <w:rFonts w:ascii="Segoe UI" w:hAnsi="Segoe UI" w:cs="Segoe UI"/>
          <w:color w:val="0F1115"/>
          <w:shd w:val="clear" w:color="auto" w:fill="FFFFFF"/>
        </w:rPr>
        <w:t>施术前排空二便；取舒适体位（仰卧位、侧卧位）；松开衣着、暴露治疗部位，注意保暖。</w:t>
      </w:r>
    </w:p>
    <w:p w14:paraId="2E556F24">
      <w:pPr>
        <w:autoSpaceDE w:val="0"/>
        <w:autoSpaceDN w:val="0"/>
        <w:adjustRightInd w:val="0"/>
        <w:spacing w:line="560" w:lineRule="exact"/>
        <w:ind w:firstLine="640"/>
        <w:rPr>
          <w:rFonts w:ascii="黑体" w:hAnsi="黑体" w:eastAsia="黑体" w:cs="仿宋_GB2312"/>
          <w:szCs w:val="32"/>
        </w:rPr>
      </w:pPr>
      <w:r>
        <w:rPr>
          <w:rFonts w:hint="eastAsia" w:ascii="黑体" w:hAnsi="黑体" w:eastAsia="黑体" w:cs="仿宋_GB2312"/>
          <w:szCs w:val="32"/>
        </w:rPr>
        <w:t>（五）施术</w:t>
      </w:r>
    </w:p>
    <w:p w14:paraId="66BAC01A">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1、治法</w:t>
      </w:r>
    </w:p>
    <w:p w14:paraId="51BBA130">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治法是整个施术过程的总纲，直接指导药物配伍与推拿手法的选择。缺血性中风偏瘫分为硬瘫与软瘫，治法各有侧重——硬瘫以“熄风止痉、祛瘀通络”为主，软瘫以“益气活血、温经通络”为主。</w:t>
      </w:r>
    </w:p>
    <w:p w14:paraId="1C6D7A31">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2、推拿方法及选穴</w:t>
      </w:r>
    </w:p>
    <w:p w14:paraId="6A0EEA45">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推拿方法与选穴是施术的核心内容。滚法作为主要推拿手法，结合点按与烫熨，形成“手法+药物+热力”三重协同效应，“以痛为输”体现中医“阿是穴”的灵活应用，远近配穴则兼顾局部与整体的调节。明确经络范围与具体选穴，保障了不同操作者之间技术实施的一致性。</w:t>
      </w:r>
    </w:p>
    <w:p w14:paraId="3312EFAA">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滚法是中医推拿的经典手法，源于明代《按摩经》中的“滚法”，以腕关节屈伸带动手掌在体表滚动。本技术将传统滚法与现代药棒工具相结合，通过药棒的滚筒结构模拟并优化了滚法的力学传导，使操作更省力、力度更均匀。药棒设计源于国家授权专利“一种中草药循经推按按摩棒”（ZL201210015272.X）及“一种中草药经络电热按摩器”（ZL20191833348.3），实现了传统手法与现代器具的融合。</w:t>
      </w:r>
    </w:p>
    <w:p w14:paraId="1BD45B9D">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点按法是中医推拿常用手法，源于《黄帝内经》中“按而收之”的记载。本技术中点按法结合药棒滚筒侧缘施力，使药物刺激与穴位按压协同作用。力度“由轻渐重至患者出现酸胀得气”遵循了中医“得气”理论，即针刺或按压穴位至出现酸、麻、胀、重感时疗效最佳。</w:t>
      </w:r>
    </w:p>
    <w:p w14:paraId="582D16E1">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烫熨法源于中医外治“熨法”，《黄帝内经》即有“病在骨，</w:t>
      </w:r>
      <w:r>
        <w:rPr>
          <w:rFonts w:hint="eastAsia" w:ascii="宋体" w:hAnsi="宋体" w:eastAsia="宋体" w:cs="宋体"/>
          <w:szCs w:val="32"/>
        </w:rPr>
        <w:t>焠</w:t>
      </w:r>
      <w:r>
        <w:rPr>
          <w:rFonts w:hint="eastAsia" w:ascii="仿宋_GB2312" w:hAnsi="仿宋_GB2312" w:cs="仿宋_GB2312"/>
          <w:szCs w:val="32"/>
        </w:rPr>
        <w:t>针药熨”的记载。本技术将药袋加热后烫熨穴位，实现“热力</w:t>
      </w:r>
      <w:r>
        <w:rPr>
          <w:rFonts w:hint="eastAsia" w:ascii="仿宋_GB2312" w:hAnsi="黑体" w:cs="仿宋_GB2312"/>
          <w:szCs w:val="32"/>
        </w:rPr>
        <w:t>+药物”双重刺激。</w:t>
      </w:r>
    </w:p>
    <w:p w14:paraId="291F0268">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选穴方案经标准起草单位临床实践验证，并参考《中医推拿学》《针灸学》教材中关于中风偏瘫的常用穴位，结合本技术特点进行了优化。循经取穴：依据《灵枢·经脉》中十二经脉循行路线的记载，上肢主要取手三阴经（肺经、心包经、心经）与手三阳经（大肠经、三焦经、小肠经），下肢主要取足三阴经（脾经、肝经、肾经）与足三阳经（胃经、胆经、膀胱经）。中风偏瘫多为对侧肢体瘫痪，与经络气血瘀滞相关，循经取穴可疏通相应经脉、恢复气血运行。以痛为输：源于《灵枢·经筋》“以痛为输”，指以压痛点为穴位，因此在循经取穴基础上，结合患者自觉疼痛点进行点按与烫熨，体现了个体化治疗原则。远近配穴：选穴中既有肢体近端穴位（如尺泽、曲池、环跳、委中），也有远端穴位（如太渊、合谷、太冲、涌泉），遵循了针灸推拿学中“远近配穴”的配伍原则。并结合编制组的临床实践经验，给出了点按、烫熨的穴位图。</w:t>
      </w:r>
    </w:p>
    <w:tbl>
      <w:tblPr>
        <w:tblStyle w:val="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4441"/>
        <w:gridCol w:w="4517"/>
      </w:tblGrid>
      <w:tr w14:paraId="187605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blHeader/>
          <w:jc w:val="center"/>
        </w:trPr>
        <w:tc>
          <w:tcPr>
            <w:tcW w:w="4672" w:type="dxa"/>
            <w:shd w:val="clear" w:color="auto" w:fill="auto"/>
            <w:vAlign w:val="center"/>
          </w:tcPr>
          <w:p w14:paraId="0B75B8BA">
            <w:pPr>
              <w:pStyle w:val="54"/>
              <w:ind w:firstLine="640"/>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drawing>
                <wp:inline distT="0" distB="0" distL="114300" distR="114300">
                  <wp:extent cx="2821940" cy="1475105"/>
                  <wp:effectExtent l="0" t="0" r="0" b="0"/>
                  <wp:docPr id="7" name="图片 7" descr="手三阴经--无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手三阴经--无标题(1)"/>
                          <pic:cNvPicPr>
                            <a:picLocks noChangeAspect="1"/>
                          </pic:cNvPicPr>
                        </pic:nvPicPr>
                        <pic:blipFill>
                          <a:blip r:embed="rId14"/>
                          <a:srcRect t="21635"/>
                          <a:stretch>
                            <a:fillRect/>
                          </a:stretch>
                        </pic:blipFill>
                        <pic:spPr>
                          <a:xfrm>
                            <a:off x="0" y="0"/>
                            <a:ext cx="2833370" cy="1481415"/>
                          </a:xfrm>
                          <a:prstGeom prst="rect">
                            <a:avLst/>
                          </a:prstGeom>
                          <a:ln>
                            <a:noFill/>
                          </a:ln>
                        </pic:spPr>
                      </pic:pic>
                    </a:graphicData>
                  </a:graphic>
                </wp:inline>
              </w:drawing>
            </w:r>
          </w:p>
        </w:tc>
        <w:tc>
          <w:tcPr>
            <w:tcW w:w="4702" w:type="dxa"/>
            <w:shd w:val="clear" w:color="auto" w:fill="auto"/>
            <w:vAlign w:val="center"/>
          </w:tcPr>
          <w:p w14:paraId="1E6AE8BC">
            <w:pPr>
              <w:pStyle w:val="54"/>
              <w:ind w:firstLine="640"/>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drawing>
                <wp:inline distT="0" distB="0" distL="114300" distR="114300">
                  <wp:extent cx="2867025" cy="1584325"/>
                  <wp:effectExtent l="0" t="0" r="9525" b="0"/>
                  <wp:docPr id="6" name="图片 6" descr="手三阳经成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手三阳经成图"/>
                          <pic:cNvPicPr>
                            <a:picLocks noChangeAspect="1"/>
                          </pic:cNvPicPr>
                        </pic:nvPicPr>
                        <pic:blipFill>
                          <a:blip r:embed="rId15"/>
                          <a:srcRect t="27344" r="776" b="25429"/>
                          <a:stretch>
                            <a:fillRect/>
                          </a:stretch>
                        </pic:blipFill>
                        <pic:spPr>
                          <a:xfrm>
                            <a:off x="0" y="0"/>
                            <a:ext cx="2867660" cy="1584463"/>
                          </a:xfrm>
                          <a:prstGeom prst="rect">
                            <a:avLst/>
                          </a:prstGeom>
                          <a:ln>
                            <a:noFill/>
                          </a:ln>
                        </pic:spPr>
                      </pic:pic>
                    </a:graphicData>
                  </a:graphic>
                </wp:inline>
              </w:drawing>
            </w:r>
          </w:p>
        </w:tc>
      </w:tr>
      <w:tr w14:paraId="441A01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jc w:val="center"/>
        </w:trPr>
        <w:tc>
          <w:tcPr>
            <w:tcW w:w="4672" w:type="dxa"/>
            <w:shd w:val="clear" w:color="auto" w:fill="auto"/>
            <w:vAlign w:val="center"/>
          </w:tcPr>
          <w:p w14:paraId="01E53AA1">
            <w:pPr>
              <w:pStyle w:val="54"/>
              <w:ind w:firstLine="640"/>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t>a）手三阴经</w:t>
            </w:r>
          </w:p>
        </w:tc>
        <w:tc>
          <w:tcPr>
            <w:tcW w:w="4702" w:type="dxa"/>
            <w:shd w:val="clear" w:color="auto" w:fill="auto"/>
            <w:vAlign w:val="center"/>
          </w:tcPr>
          <w:p w14:paraId="410881AF">
            <w:pPr>
              <w:pStyle w:val="54"/>
              <w:ind w:firstLine="640"/>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t>b）手三阳经</w:t>
            </w:r>
          </w:p>
        </w:tc>
      </w:tr>
      <w:tr w14:paraId="498BC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jc w:val="center"/>
        </w:trPr>
        <w:tc>
          <w:tcPr>
            <w:tcW w:w="4672" w:type="dxa"/>
            <w:shd w:val="clear" w:color="auto" w:fill="auto"/>
            <w:vAlign w:val="center"/>
          </w:tcPr>
          <w:p w14:paraId="0D244CD2">
            <w:pPr>
              <w:pStyle w:val="54"/>
              <w:ind w:firstLine="640"/>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drawing>
                <wp:inline distT="0" distB="0" distL="114300" distR="114300">
                  <wp:extent cx="2141220" cy="1864995"/>
                  <wp:effectExtent l="0" t="0" r="0" b="1905"/>
                  <wp:docPr id="8" name="图片 8" descr="足三阴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足三阴经2"/>
                          <pic:cNvPicPr>
                            <a:picLocks noChangeAspect="1"/>
                          </pic:cNvPicPr>
                        </pic:nvPicPr>
                        <pic:blipFill>
                          <a:blip r:embed="rId16"/>
                          <a:srcRect t="20155"/>
                          <a:stretch>
                            <a:fillRect/>
                          </a:stretch>
                        </pic:blipFill>
                        <pic:spPr>
                          <a:xfrm>
                            <a:off x="0" y="0"/>
                            <a:ext cx="2144395" cy="1867338"/>
                          </a:xfrm>
                          <a:prstGeom prst="rect">
                            <a:avLst/>
                          </a:prstGeom>
                          <a:ln>
                            <a:noFill/>
                          </a:ln>
                        </pic:spPr>
                      </pic:pic>
                    </a:graphicData>
                  </a:graphic>
                </wp:inline>
              </w:drawing>
            </w:r>
          </w:p>
        </w:tc>
        <w:tc>
          <w:tcPr>
            <w:tcW w:w="4702" w:type="dxa"/>
            <w:shd w:val="clear" w:color="auto" w:fill="auto"/>
            <w:vAlign w:val="center"/>
          </w:tcPr>
          <w:p w14:paraId="6A9CFF15">
            <w:pPr>
              <w:pStyle w:val="54"/>
              <w:ind w:firstLine="640"/>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drawing>
                <wp:inline distT="0" distB="0" distL="114300" distR="114300">
                  <wp:extent cx="2824480" cy="1593215"/>
                  <wp:effectExtent l="0" t="0" r="0" b="6985"/>
                  <wp:docPr id="3" name="图片 3" descr="足三阳(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足三阳(1)"/>
                          <pic:cNvPicPr>
                            <a:picLocks noChangeAspect="1"/>
                          </pic:cNvPicPr>
                        </pic:nvPicPr>
                        <pic:blipFill>
                          <a:blip r:embed="rId17"/>
                          <a:srcRect l="2500" t="15151" b="7410"/>
                          <a:stretch>
                            <a:fillRect/>
                          </a:stretch>
                        </pic:blipFill>
                        <pic:spPr>
                          <a:xfrm>
                            <a:off x="0" y="0"/>
                            <a:ext cx="2824602" cy="1593410"/>
                          </a:xfrm>
                          <a:prstGeom prst="rect">
                            <a:avLst/>
                          </a:prstGeom>
                          <a:ln>
                            <a:noFill/>
                          </a:ln>
                        </pic:spPr>
                      </pic:pic>
                    </a:graphicData>
                  </a:graphic>
                </wp:inline>
              </w:drawing>
            </w:r>
          </w:p>
        </w:tc>
      </w:tr>
      <w:tr w14:paraId="470D5E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jc w:val="center"/>
        </w:trPr>
        <w:tc>
          <w:tcPr>
            <w:tcW w:w="4672" w:type="dxa"/>
            <w:shd w:val="clear" w:color="auto" w:fill="auto"/>
            <w:vAlign w:val="center"/>
          </w:tcPr>
          <w:p w14:paraId="6DBE5FB3">
            <w:pPr>
              <w:pStyle w:val="54"/>
              <w:ind w:firstLine="640"/>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t>c）手三阴经</w:t>
            </w:r>
          </w:p>
        </w:tc>
        <w:tc>
          <w:tcPr>
            <w:tcW w:w="4702" w:type="dxa"/>
            <w:shd w:val="clear" w:color="auto" w:fill="auto"/>
            <w:vAlign w:val="center"/>
          </w:tcPr>
          <w:p w14:paraId="4BD5D818">
            <w:pPr>
              <w:pStyle w:val="54"/>
              <w:ind w:firstLine="640"/>
              <w:rPr>
                <w:color w:val="000000" w:themeColor="text1"/>
                <w:szCs w:val="18"/>
                <w14:textFill>
                  <w14:solidFill>
                    <w14:schemeClr w14:val="tx1"/>
                  </w14:solidFill>
                </w14:textFill>
              </w:rPr>
            </w:pPr>
            <w:r>
              <w:rPr>
                <w:rFonts w:hint="eastAsia"/>
                <w:color w:val="000000" w:themeColor="text1"/>
                <w:szCs w:val="18"/>
                <w14:textFill>
                  <w14:solidFill>
                    <w14:schemeClr w14:val="tx1"/>
                  </w14:solidFill>
                </w14:textFill>
              </w:rPr>
              <w:t>d）足三阳经</w:t>
            </w:r>
          </w:p>
        </w:tc>
      </w:tr>
    </w:tbl>
    <w:p w14:paraId="145B141F">
      <w:pPr>
        <w:autoSpaceDE w:val="0"/>
        <w:autoSpaceDN w:val="0"/>
        <w:adjustRightInd w:val="0"/>
        <w:spacing w:line="560" w:lineRule="exact"/>
        <w:ind w:firstLine="0" w:firstLineChars="0"/>
        <w:jc w:val="center"/>
        <w:rPr>
          <w:rFonts w:hint="eastAsia" w:ascii="仿宋_GB2312" w:hAnsi="黑体" w:cs="仿宋_GB2312"/>
          <w:szCs w:val="32"/>
        </w:rPr>
      </w:pPr>
      <w:r>
        <w:rPr>
          <w:rFonts w:hint="eastAsia" w:ascii="仿宋_GB2312" w:hAnsi="黑体" w:cs="仿宋_GB2312"/>
          <w:szCs w:val="32"/>
        </w:rPr>
        <w:t>点按、烫熨穴位图</w:t>
      </w:r>
    </w:p>
    <w:p w14:paraId="2CF9FC26">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3、实施推拿</w:t>
      </w:r>
    </w:p>
    <w:p w14:paraId="24583500">
      <w:pPr>
        <w:autoSpaceDE w:val="0"/>
        <w:autoSpaceDN w:val="0"/>
        <w:adjustRightInd w:val="0"/>
        <w:spacing w:line="560" w:lineRule="exact"/>
        <w:ind w:firstLine="640"/>
        <w:rPr>
          <w:rFonts w:hint="eastAsia" w:ascii="Segoe UI" w:hAnsi="Segoe UI" w:cs="Segoe UI"/>
          <w:color w:val="0F1115"/>
          <w:shd w:val="clear" w:color="auto" w:fill="FFFFFF"/>
        </w:rPr>
      </w:pPr>
      <w:r>
        <w:rPr>
          <w:rFonts w:ascii="Segoe UI" w:hAnsi="Segoe UI" w:cs="Segoe UI"/>
          <w:color w:val="0F1115"/>
          <w:shd w:val="clear" w:color="auto" w:fill="FFFFFF"/>
        </w:rPr>
        <w:t>分别规定了滚法、点按、药袋烫熨的具体操作要点，包括手法要领、力度控制、操作时间、频率及患者反应观察</w:t>
      </w:r>
      <w:r>
        <w:rPr>
          <w:rFonts w:hint="eastAsia" w:ascii="Segoe UI" w:hAnsi="Segoe UI" w:cs="Segoe UI"/>
          <w:color w:val="0F1115"/>
          <w:shd w:val="clear" w:color="auto" w:fill="FFFFFF"/>
        </w:rPr>
        <w:t>，主要结合编制团队多年的临床实践经验进行总结明确。</w:t>
      </w:r>
    </w:p>
    <w:p w14:paraId="5B223613">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滚法操作要点：操作时间3～5分钟/部位、5～10分钟/肢体来源于起草单位临床经验，经疗效观察确定为最佳时长；以“皮肤微红为度”源于中医“气血疏通”理论，微红提示局部气血运行改善。</w:t>
      </w:r>
    </w:p>
    <w:p w14:paraId="54DDB35D">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点按操作要点：“由轻渐重、再由重至轻”符合《医宗金鉴》“轻重缓急”的推拿原则，避免暴力操作造成损伤；持续30～60秒参照《针灸学》中穴位按压的得气维持时间；“患者出现酸胀得气”是中医推拿“得气”理论的具体体现。</w:t>
      </w:r>
    </w:p>
    <w:p w14:paraId="6B8887F3">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药袋烫熨操作要点：每穴1～2分钟、以皮肤微红为度，参照艾灸类技术规范中的安全操作标准； “及时询问感受、观察皮肤”是预防烫伤的关键措施，源于临床不良事件防控经验。</w:t>
      </w:r>
    </w:p>
    <w:p w14:paraId="68B8405D">
      <w:pPr>
        <w:autoSpaceDE w:val="0"/>
        <w:autoSpaceDN w:val="0"/>
        <w:adjustRightInd w:val="0"/>
        <w:spacing w:line="560" w:lineRule="exact"/>
        <w:ind w:firstLine="640"/>
        <w:rPr>
          <w:rFonts w:hint="eastAsia" w:ascii="仿宋_GB2312" w:hAnsi="黑体" w:cs="仿宋_GB2312"/>
          <w:szCs w:val="32"/>
        </w:rPr>
      </w:pPr>
      <w:r>
        <w:rPr>
          <w:rFonts w:hint="eastAsia" w:ascii="仿宋_GB2312" w:hAnsi="黑体" w:cs="仿宋_GB2312"/>
          <w:szCs w:val="32"/>
        </w:rPr>
        <w:t>4、疗程</w:t>
      </w:r>
    </w:p>
    <w:p w14:paraId="133B496E">
      <w:pPr>
        <w:autoSpaceDE w:val="0"/>
        <w:autoSpaceDN w:val="0"/>
        <w:adjustRightInd w:val="0"/>
        <w:spacing w:line="560" w:lineRule="exact"/>
        <w:ind w:firstLine="640"/>
        <w:rPr>
          <w:rFonts w:ascii="Segoe UI" w:hAnsi="Segoe UI" w:cs="Segoe UI"/>
          <w:color w:val="0F1115"/>
          <w:shd w:val="clear" w:color="auto" w:fill="FFFFFF"/>
        </w:rPr>
      </w:pPr>
      <w:r>
        <w:rPr>
          <w:rFonts w:hint="eastAsia" w:ascii="Segoe UI" w:hAnsi="Segoe UI" w:cs="Segoe UI"/>
          <w:color w:val="0F1115"/>
          <w:shd w:val="clear" w:color="auto" w:fill="FFFFFF"/>
        </w:rPr>
        <w:t>主要</w:t>
      </w:r>
      <w:r>
        <w:rPr>
          <w:rFonts w:ascii="Segoe UI" w:hAnsi="Segoe UI" w:cs="Segoe UI"/>
          <w:color w:val="0F1115"/>
          <w:shd w:val="clear" w:color="auto" w:fill="FFFFFF"/>
        </w:rPr>
        <w:t>明确</w:t>
      </w:r>
      <w:r>
        <w:rPr>
          <w:rFonts w:hint="eastAsia" w:ascii="Segoe UI" w:hAnsi="Segoe UI" w:cs="Segoe UI"/>
          <w:color w:val="0F1115"/>
          <w:shd w:val="clear" w:color="auto" w:fill="FFFFFF"/>
        </w:rPr>
        <w:t>了</w:t>
      </w:r>
      <w:r>
        <w:rPr>
          <w:rFonts w:ascii="Segoe UI" w:hAnsi="Segoe UI" w:cs="Segoe UI"/>
          <w:color w:val="0F1115"/>
          <w:shd w:val="clear" w:color="auto" w:fill="FFFFFF"/>
        </w:rPr>
        <w:t>治疗时长、频率与疗程周期</w:t>
      </w:r>
      <w:r>
        <w:rPr>
          <w:rFonts w:hint="eastAsia" w:ascii="Segoe UI" w:hAnsi="Segoe UI" w:cs="Segoe UI"/>
          <w:color w:val="0F1115"/>
          <w:shd w:val="clear" w:color="auto" w:fill="FFFFFF"/>
        </w:rPr>
        <w:t>。治疗时长（30～45分钟）主要结合五家医院临床调查的共识数据（见表1），经长期临床实践验证为该疗法的适宜时长，既能保证充分刺激，又不会导致患者过度疲劳。治疗频率（每日1次）则是参照《中医推拿学》中慢性病推拿治疗的常规频率，每日1次可使刺激效应持续积累，同时给予组织充分的恢复时间。疗程周期（7～14天）是源于起草单位临床经验，多数患者治疗1～2周后可观察到初步疗效。</w:t>
      </w:r>
    </w:p>
    <w:p w14:paraId="4F7012D2">
      <w:pPr>
        <w:autoSpaceDE w:val="0"/>
        <w:autoSpaceDN w:val="0"/>
        <w:adjustRightInd w:val="0"/>
        <w:spacing w:line="560" w:lineRule="exact"/>
        <w:ind w:firstLine="640"/>
        <w:rPr>
          <w:rFonts w:ascii="仿宋_GB2312" w:hAnsi="宋体"/>
          <w:szCs w:val="32"/>
        </w:rPr>
      </w:pPr>
      <w:r>
        <w:rPr>
          <w:rFonts w:hint="eastAsia" w:ascii="黑体" w:hAnsi="黑体" w:eastAsia="黑体" w:cs="仿宋_GB2312"/>
          <w:szCs w:val="32"/>
        </w:rPr>
        <w:t>（六）注意事项</w:t>
      </w:r>
    </w:p>
    <w:p w14:paraId="25A81554">
      <w:pPr>
        <w:autoSpaceDE w:val="0"/>
        <w:autoSpaceDN w:val="0"/>
        <w:adjustRightInd w:val="0"/>
        <w:spacing w:line="560" w:lineRule="exact"/>
        <w:ind w:firstLine="640"/>
        <w:rPr>
          <w:rFonts w:hint="eastAsia" w:ascii="Segoe UI" w:hAnsi="Segoe UI" w:cs="Segoe UI"/>
          <w:color w:val="0F1115"/>
          <w:shd w:val="clear" w:color="auto" w:fill="FFFFFF"/>
        </w:rPr>
      </w:pPr>
      <w:r>
        <w:rPr>
          <w:rFonts w:hint="eastAsia" w:ascii="Segoe UI" w:hAnsi="Segoe UI" w:cs="Segoe UI"/>
          <w:color w:val="0F1115"/>
          <w:shd w:val="clear" w:color="auto" w:fill="FFFFFF"/>
        </w:rPr>
        <w:t>主要从操作时机、温度控制、手法力度、皮肤观察、生活指导及异常处理等多个方面进行了规定。明确了以下注意事项：空腹、过饱、过度疲劳者不宜立即操作。药包温度在50 ℃～70 ℃，年老体弱者不超过50 ℃，并监测操作温度和时间，若患者出现不适、或晕棒，应立即停止操作并处置。操作时手法应轻柔均匀、由轻至重，不允许暴力操作，循经走穴应定位准确，力度以患者酸胀可耐受为宜。操作时应注意观察药物渗漏情况，不应烫伤患者、污染衣物或床单位。操作后观察局部皮肤，轻微发红发热为正常反应，异常情况及时处理。告知患者治疗后避风寒，30 min内不碰冷水、4 h～6 h内不洗澡。指导患者多饮温水、清淡饮食，忌食刺激性食物。出现水泡、过敏等异常及时告知医务人员，按规范处置并预防感染。</w:t>
      </w:r>
    </w:p>
    <w:p w14:paraId="2452E24C">
      <w:pPr>
        <w:autoSpaceDE w:val="0"/>
        <w:autoSpaceDN w:val="0"/>
        <w:adjustRightInd w:val="0"/>
        <w:spacing w:line="560" w:lineRule="exact"/>
        <w:ind w:firstLine="640"/>
        <w:jc w:val="left"/>
        <w:rPr>
          <w:rFonts w:ascii="黑体" w:hAnsi="黑体" w:eastAsia="黑体" w:cs="仿宋_GB2312"/>
          <w:szCs w:val="32"/>
        </w:rPr>
      </w:pPr>
      <w:r>
        <w:rPr>
          <w:rFonts w:hint="eastAsia" w:ascii="黑体" w:hAnsi="黑体" w:eastAsia="黑体" w:cs="仿宋_GB2312"/>
          <w:szCs w:val="32"/>
        </w:rPr>
        <w:t>六、</w:t>
      </w:r>
      <w:bookmarkEnd w:id="4"/>
      <w:r>
        <w:rPr>
          <w:rFonts w:hint="eastAsia" w:ascii="黑体" w:hAnsi="黑体" w:eastAsia="黑体" w:cs="仿宋_GB2312"/>
          <w:szCs w:val="32"/>
        </w:rPr>
        <w:t>重大分歧意见的处理经过和依据</w:t>
      </w:r>
    </w:p>
    <w:p w14:paraId="526591F0">
      <w:pPr>
        <w:spacing w:line="560" w:lineRule="exact"/>
        <w:ind w:firstLine="640"/>
        <w:rPr>
          <w:rFonts w:ascii="仿宋_GB2312" w:hAnsi="宋体"/>
          <w:szCs w:val="28"/>
        </w:rPr>
      </w:pPr>
      <w:r>
        <w:rPr>
          <w:rFonts w:hint="eastAsia" w:ascii="仿宋_GB2312" w:hAnsi="宋体"/>
          <w:szCs w:val="28"/>
        </w:rPr>
        <w:t>本标准研制过程中无重大分歧意见。</w:t>
      </w:r>
    </w:p>
    <w:p w14:paraId="446EEDDB">
      <w:pPr>
        <w:autoSpaceDE w:val="0"/>
        <w:autoSpaceDN w:val="0"/>
        <w:adjustRightInd w:val="0"/>
        <w:spacing w:line="560" w:lineRule="exact"/>
        <w:ind w:firstLine="640"/>
        <w:jc w:val="left"/>
        <w:rPr>
          <w:rFonts w:ascii="黑体" w:hAnsi="黑体" w:eastAsia="黑体" w:cs="仿宋_GB2312"/>
          <w:szCs w:val="32"/>
        </w:rPr>
      </w:pPr>
      <w:r>
        <w:rPr>
          <w:rFonts w:hint="eastAsia" w:ascii="黑体" w:hAnsi="黑体" w:eastAsia="黑体" w:cs="仿宋_GB2312"/>
          <w:szCs w:val="32"/>
        </w:rPr>
        <w:t>七</w:t>
      </w:r>
      <w:r>
        <w:rPr>
          <w:rFonts w:ascii="黑体" w:hAnsi="黑体" w:eastAsia="黑体" w:cs="仿宋_GB2312"/>
          <w:szCs w:val="32"/>
        </w:rPr>
        <w:t>、</w:t>
      </w:r>
      <w:r>
        <w:rPr>
          <w:rFonts w:hint="eastAsia" w:ascii="黑体" w:hAnsi="黑体" w:eastAsia="黑体" w:cs="仿宋_GB2312"/>
          <w:szCs w:val="32"/>
        </w:rPr>
        <w:t>实施标准的措施</w:t>
      </w:r>
    </w:p>
    <w:p w14:paraId="6925A9DE">
      <w:pPr>
        <w:spacing w:line="560" w:lineRule="exact"/>
        <w:ind w:firstLine="643"/>
        <w:rPr>
          <w:rFonts w:ascii="仿宋_GB2312" w:hAnsi="宋体"/>
          <w:b/>
          <w:szCs w:val="28"/>
        </w:rPr>
      </w:pPr>
      <w:r>
        <w:rPr>
          <w:rFonts w:hint="eastAsia" w:ascii="仿宋_GB2312" w:hAnsi="宋体"/>
          <w:b/>
          <w:szCs w:val="28"/>
        </w:rPr>
        <w:t>（一）标准报批发布后，成立标准宣贯工作组</w:t>
      </w:r>
    </w:p>
    <w:p w14:paraId="5A72A041">
      <w:pPr>
        <w:spacing w:line="560" w:lineRule="exact"/>
        <w:ind w:firstLine="640"/>
        <w:rPr>
          <w:rFonts w:ascii="仿宋_GB2312" w:hAnsi="宋体"/>
          <w:szCs w:val="28"/>
        </w:rPr>
      </w:pPr>
      <w:r>
        <w:rPr>
          <w:rFonts w:hint="eastAsia" w:ascii="仿宋_GB2312" w:hAnsi="宋体"/>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76FE1AD1">
      <w:pPr>
        <w:spacing w:line="560" w:lineRule="exact"/>
        <w:ind w:firstLine="643"/>
        <w:rPr>
          <w:rFonts w:ascii="仿宋_GB2312" w:hAnsi="宋体"/>
          <w:b/>
          <w:szCs w:val="28"/>
        </w:rPr>
      </w:pPr>
      <w:r>
        <w:rPr>
          <w:rFonts w:hint="eastAsia" w:ascii="仿宋_GB2312" w:hAnsi="宋体"/>
          <w:b/>
          <w:szCs w:val="28"/>
        </w:rPr>
        <w:t>（二）组织开展标准宣贯培训</w:t>
      </w:r>
    </w:p>
    <w:p w14:paraId="430ECA96">
      <w:pPr>
        <w:spacing w:line="560" w:lineRule="exact"/>
        <w:ind w:firstLine="640"/>
        <w:rPr>
          <w:rFonts w:ascii="仿宋_GB2312" w:hAnsi="宋体"/>
          <w:szCs w:val="28"/>
        </w:rPr>
      </w:pPr>
      <w:r>
        <w:rPr>
          <w:rFonts w:hint="eastAsia" w:ascii="仿宋_GB2312" w:hAnsi="宋体"/>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79A37983">
      <w:pPr>
        <w:spacing w:line="560" w:lineRule="exact"/>
        <w:ind w:firstLine="643"/>
        <w:rPr>
          <w:rFonts w:ascii="仿宋_GB2312" w:hAnsi="宋体"/>
          <w:b/>
          <w:szCs w:val="28"/>
        </w:rPr>
      </w:pPr>
      <w:r>
        <w:rPr>
          <w:rFonts w:hint="eastAsia" w:ascii="仿宋_GB2312" w:hAnsi="宋体"/>
          <w:b/>
          <w:szCs w:val="28"/>
        </w:rPr>
        <w:t>（三）开展标准实施交流会，收集标准实施反馈信息</w:t>
      </w:r>
    </w:p>
    <w:p w14:paraId="73849C97">
      <w:pPr>
        <w:spacing w:line="560" w:lineRule="exact"/>
        <w:ind w:firstLine="640"/>
        <w:rPr>
          <w:rFonts w:ascii="仿宋_GB2312" w:hAnsi="宋体"/>
          <w:szCs w:val="28"/>
        </w:rPr>
      </w:pPr>
      <w:r>
        <w:rPr>
          <w:rFonts w:hint="eastAsia" w:ascii="仿宋_GB2312" w:hAnsi="宋体"/>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69FB08A8">
      <w:pPr>
        <w:spacing w:line="560" w:lineRule="exact"/>
        <w:ind w:firstLine="643"/>
        <w:rPr>
          <w:rFonts w:ascii="仿宋_GB2312" w:hAnsi="宋体"/>
          <w:b/>
          <w:szCs w:val="28"/>
        </w:rPr>
      </w:pPr>
      <w:r>
        <w:rPr>
          <w:rFonts w:hint="eastAsia" w:ascii="仿宋_GB2312" w:hAnsi="宋体"/>
          <w:b/>
          <w:szCs w:val="28"/>
        </w:rPr>
        <w:t>（四）开展标准实施效果评估</w:t>
      </w:r>
    </w:p>
    <w:p w14:paraId="11FB8944">
      <w:pPr>
        <w:spacing w:line="560" w:lineRule="exact"/>
        <w:ind w:firstLine="640"/>
        <w:rPr>
          <w:rFonts w:ascii="仿宋_GB2312" w:hAnsi="宋体"/>
          <w:szCs w:val="28"/>
        </w:rPr>
      </w:pPr>
      <w:r>
        <w:rPr>
          <w:rFonts w:hint="eastAsia" w:ascii="仿宋_GB2312" w:hAnsi="宋体"/>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09308084">
      <w:pPr>
        <w:autoSpaceDE w:val="0"/>
        <w:autoSpaceDN w:val="0"/>
        <w:adjustRightInd w:val="0"/>
        <w:spacing w:line="560" w:lineRule="exact"/>
        <w:ind w:firstLine="640"/>
        <w:jc w:val="left"/>
        <w:rPr>
          <w:rFonts w:ascii="黑体" w:hAnsi="黑体" w:eastAsia="黑体" w:cs="仿宋_GB2312"/>
          <w:szCs w:val="32"/>
        </w:rPr>
      </w:pPr>
      <w:r>
        <w:rPr>
          <w:rFonts w:hint="eastAsia" w:ascii="黑体" w:hAnsi="黑体" w:eastAsia="黑体" w:cs="仿宋_GB2312"/>
          <w:szCs w:val="32"/>
        </w:rPr>
        <w:t>八、其他应当说明的事项</w:t>
      </w:r>
    </w:p>
    <w:p w14:paraId="2EC51887">
      <w:pPr>
        <w:spacing w:line="560" w:lineRule="exact"/>
        <w:ind w:firstLine="640"/>
        <w:rPr>
          <w:rFonts w:ascii="仿宋_GB2312" w:hAnsi="宋体"/>
          <w:szCs w:val="28"/>
        </w:rPr>
      </w:pPr>
      <w:r>
        <w:rPr>
          <w:rFonts w:hint="eastAsia" w:ascii="仿宋_GB2312" w:hAnsi="宋体"/>
          <w:szCs w:val="28"/>
        </w:rPr>
        <w:t>无。</w:t>
      </w:r>
    </w:p>
    <w:p w14:paraId="51387B6F">
      <w:pPr>
        <w:spacing w:line="560" w:lineRule="exact"/>
        <w:ind w:firstLine="0" w:firstLineChars="0"/>
        <w:rPr>
          <w:rFonts w:ascii="仿宋_GB2312" w:hAnsi="仿宋"/>
          <w:bCs/>
          <w:color w:val="000000"/>
          <w:sz w:val="36"/>
          <w:szCs w:val="32"/>
        </w:rPr>
      </w:pPr>
    </w:p>
    <w:p w14:paraId="09BCB92E">
      <w:pPr>
        <w:spacing w:line="560" w:lineRule="exact"/>
        <w:ind w:firstLine="0" w:firstLineChars="0"/>
        <w:rPr>
          <w:rFonts w:ascii="仿宋_GB2312" w:hAnsi="仿宋"/>
          <w:bCs/>
          <w:color w:val="000000"/>
          <w:sz w:val="36"/>
          <w:szCs w:val="32"/>
        </w:rPr>
      </w:pPr>
    </w:p>
    <w:p w14:paraId="71BC163F">
      <w:pPr>
        <w:spacing w:line="560" w:lineRule="exact"/>
        <w:ind w:right="640" w:firstLine="640"/>
        <w:jc w:val="right"/>
        <w:rPr>
          <w:rFonts w:ascii="仿宋_GB2312" w:hAnsi="宋体"/>
          <w:szCs w:val="28"/>
        </w:rPr>
      </w:pPr>
      <w:r>
        <w:rPr>
          <w:rFonts w:hint="eastAsia" w:ascii="仿宋_GB2312" w:hAnsi="宋体"/>
          <w:szCs w:val="28"/>
        </w:rPr>
        <w:t>团体标准《药棒循经推拿法治疗缺血性中风偏瘫技术操作规范》</w:t>
      </w:r>
    </w:p>
    <w:p w14:paraId="17848909">
      <w:pPr>
        <w:spacing w:line="560" w:lineRule="exact"/>
        <w:ind w:firstLine="640"/>
        <w:jc w:val="right"/>
        <w:rPr>
          <w:rFonts w:ascii="仿宋_GB2312" w:hAnsi="宋体"/>
          <w:szCs w:val="28"/>
        </w:rPr>
      </w:pPr>
      <w:r>
        <w:rPr>
          <w:rFonts w:hint="eastAsia" w:ascii="仿宋_GB2312" w:hAnsi="宋体"/>
          <w:szCs w:val="28"/>
        </w:rPr>
        <w:t>标准编制工作组</w:t>
      </w:r>
    </w:p>
    <w:p w14:paraId="4B705D10">
      <w:pPr>
        <w:spacing w:line="560" w:lineRule="exact"/>
        <w:ind w:firstLine="640"/>
        <w:jc w:val="right"/>
        <w:rPr>
          <w:rFonts w:ascii="仿宋_GB2312" w:hAnsi="宋体"/>
          <w:szCs w:val="28"/>
        </w:rPr>
      </w:pPr>
      <w:r>
        <w:rPr>
          <w:rFonts w:hint="eastAsia" w:ascii="仿宋_GB2312" w:hAnsi="宋体"/>
          <w:szCs w:val="28"/>
        </w:rPr>
        <w:t>2026年3月16日</w:t>
      </w:r>
    </w:p>
    <w:sectPr>
      <w:headerReference r:id="rId7" w:type="first"/>
      <w:footerReference r:id="rId10" w:type="first"/>
      <w:headerReference r:id="rId5" w:type="default"/>
      <w:footerReference r:id="rId8" w:type="default"/>
      <w:headerReference r:id="rId6" w:type="even"/>
      <w:footerReference r:id="rId9" w:type="even"/>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F60973F-A0F6-4B44-9C8F-086F857D0F2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D63C8541-A0D0-4ECE-B27A-A2BF75290B74}"/>
  </w:font>
  <w:font w:name="仿宋_GB2312">
    <w:altName w:val="仿宋"/>
    <w:panose1 w:val="02010609030101010101"/>
    <w:charset w:val="86"/>
    <w:family w:val="modern"/>
    <w:pitch w:val="default"/>
    <w:sig w:usb0="00000000" w:usb1="00000000" w:usb2="00000010" w:usb3="00000000" w:csb0="00040000" w:csb1="00000000"/>
    <w:embedRegular r:id="rId3" w:fontKey="{BBEF5950-D2DD-4C9B-8350-7A64938EA7F0}"/>
  </w:font>
  <w:font w:name="方正小标宋简体">
    <w:panose1 w:val="02000000000000000000"/>
    <w:charset w:val="86"/>
    <w:family w:val="script"/>
    <w:pitch w:val="default"/>
    <w:sig w:usb0="00000001" w:usb1="08000000" w:usb2="00000000" w:usb3="00000000" w:csb0="00040000" w:csb1="00000000"/>
    <w:embedRegular r:id="rId4" w:fontKey="{545CBC25-429C-4A18-B78E-22547C26AF0B}"/>
  </w:font>
  <w:font w:name="仿宋">
    <w:panose1 w:val="02010609060101010101"/>
    <w:charset w:val="86"/>
    <w:family w:val="modern"/>
    <w:pitch w:val="default"/>
    <w:sig w:usb0="800002BF" w:usb1="38CF7CFA" w:usb2="00000016" w:usb3="00000000" w:csb0="00040001" w:csb1="00000000"/>
    <w:embedRegular r:id="rId5" w:fontKey="{9A2BD776-B0FC-4C35-BC14-781FDDB14651}"/>
  </w:font>
  <w:font w:name="楷体">
    <w:panose1 w:val="02010609060101010101"/>
    <w:charset w:val="86"/>
    <w:family w:val="modern"/>
    <w:pitch w:val="default"/>
    <w:sig w:usb0="800002BF" w:usb1="38CF7CFA" w:usb2="00000016" w:usb3="00000000" w:csb0="00040001" w:csb1="00000000"/>
    <w:embedRegular r:id="rId6" w:fontKey="{5365920B-2F09-47A7-896A-06CD99CC213E}"/>
  </w:font>
  <w:font w:name="Segoe UI">
    <w:panose1 w:val="020B0502040204020203"/>
    <w:charset w:val="00"/>
    <w:family w:val="swiss"/>
    <w:pitch w:val="default"/>
    <w:sig w:usb0="E4002EFF" w:usb1="C000E47F" w:usb2="00000009" w:usb3="00000000" w:csb0="200001FF" w:csb1="00000000"/>
    <w:embedRegular r:id="rId7" w:fontKey="{8B239929-AA28-4876-88A0-8AC8F28A708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 w:name="KSOFE4507CE4">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sdtPr>
    <w:sdtContent>
      <w:p w14:paraId="2681BEB0">
        <w:pPr>
          <w:pStyle w:val="5"/>
          <w:ind w:firstLine="360"/>
          <w:jc w:val="center"/>
        </w:pPr>
        <w:r>
          <w:fldChar w:fldCharType="begin"/>
        </w:r>
        <w:r>
          <w:instrText xml:space="preserve">PAGE   \* MERGEFORMAT</w:instrText>
        </w:r>
        <w:r>
          <w:fldChar w:fldCharType="separate"/>
        </w:r>
        <w:r>
          <w:rPr>
            <w:lang w:val="zh-CN"/>
          </w:rPr>
          <w:t>1</w:t>
        </w:r>
        <w:r>
          <w:fldChar w:fldCharType="end"/>
        </w:r>
      </w:p>
    </w:sdtContent>
  </w:sdt>
  <w:p w14:paraId="444DB5C4">
    <w:pPr>
      <w:pStyle w:val="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DD3829">
    <w:pPr>
      <w:pStyle w:val="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B1478C">
    <w:pPr>
      <w:pStyle w:val="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78AA07">
    <w:pPr>
      <w:ind w:left="64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21443A">
    <w:pPr>
      <w:pStyle w:val="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C40C54">
    <w:pPr>
      <w:pStyle w:val="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CE7D34"/>
    <w:multiLevelType w:val="multilevel"/>
    <w:tmpl w:val="BFCE7D34"/>
    <w:lvl w:ilvl="0" w:tentative="0">
      <w:start w:val="1"/>
      <w:numFmt w:val="upperLetter"/>
      <w:suff w:val="space"/>
      <w:lvlText w:val="%1"/>
      <w:lvlJc w:val="left"/>
      <w:pPr>
        <w:ind w:left="425" w:hanging="425"/>
      </w:pPr>
    </w:lvl>
    <w:lvl w:ilvl="1" w:tentative="0">
      <w:start w:val="1"/>
      <w:numFmt w:val="decimal"/>
      <w:pStyle w:val="48"/>
      <w:suff w:val="space"/>
      <w:lvlText w:val="表%1.%2"/>
      <w:lvlJc w:val="center"/>
      <w:pPr>
        <w:ind w:left="0" w:firstLine="0"/>
      </w:pPr>
      <w:rPr>
        <w:rFonts w:hint="eastAsia" w:ascii="黑体" w:hAnsi="Times New Roman" w:eastAsia="黑体" w:cs="黑体"/>
        <w:sz w:val="21"/>
      </w:r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5"/>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1">
    <w:nsid w:val="E09D9079"/>
    <w:multiLevelType w:val="multilevel"/>
    <w:tmpl w:val="E09D9079"/>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pStyle w:val="46"/>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E6F4C356"/>
    <w:multiLevelType w:val="multilevel"/>
    <w:tmpl w:val="E6F4C356"/>
    <w:lvl w:ilvl="0" w:tentative="0">
      <w:start w:val="1"/>
      <w:numFmt w:val="none"/>
      <w:pStyle w:val="49"/>
      <w:lvlText w:val="%1注："/>
      <w:lvlJc w:val="left"/>
      <w:pPr>
        <w:ind w:left="737" w:hanging="374"/>
      </w:pPr>
      <w:rPr>
        <w:rFonts w:hint="eastAsia" w:ascii="黑体" w:hAnsi="Times New Roman" w:eastAsia="黑体" w:cs="黑体"/>
        <w:b w:val="0"/>
        <w:i w:val="0"/>
        <w:sz w:val="18"/>
      </w:rPr>
    </w:lvl>
    <w:lvl w:ilvl="1" w:tentative="0">
      <w:start w:val="1"/>
      <w:numFmt w:val="lowerLetter"/>
      <w:lvlText w:val="%2)"/>
      <w:lvlJc w:val="left"/>
      <w:pPr>
        <w:tabs>
          <w:tab w:val="left" w:pos="1140"/>
        </w:tabs>
        <w:ind w:left="726" w:hanging="363"/>
      </w:pPr>
    </w:lvl>
    <w:lvl w:ilvl="2" w:tentative="0">
      <w:start w:val="1"/>
      <w:numFmt w:val="lowerRoman"/>
      <w:lvlText w:val="%3."/>
      <w:lvlJc w:val="right"/>
      <w:pPr>
        <w:tabs>
          <w:tab w:val="left" w:pos="1140"/>
        </w:tabs>
        <w:ind w:left="726" w:hanging="363"/>
      </w:pPr>
    </w:lvl>
    <w:lvl w:ilvl="3" w:tentative="0">
      <w:start w:val="1"/>
      <w:numFmt w:val="decimal"/>
      <w:lvlText w:val="%4."/>
      <w:lvlJc w:val="left"/>
      <w:pPr>
        <w:tabs>
          <w:tab w:val="left" w:pos="1140"/>
        </w:tabs>
        <w:ind w:left="726" w:hanging="363"/>
      </w:pPr>
    </w:lvl>
    <w:lvl w:ilvl="4" w:tentative="0">
      <w:start w:val="1"/>
      <w:numFmt w:val="lowerLetter"/>
      <w:lvlText w:val="%5)"/>
      <w:lvlJc w:val="left"/>
      <w:pPr>
        <w:tabs>
          <w:tab w:val="left" w:pos="1140"/>
        </w:tabs>
        <w:ind w:left="726" w:hanging="363"/>
      </w:pPr>
    </w:lvl>
    <w:lvl w:ilvl="5" w:tentative="0">
      <w:start w:val="1"/>
      <w:numFmt w:val="lowerRoman"/>
      <w:lvlText w:val="%6."/>
      <w:lvlJc w:val="right"/>
      <w:pPr>
        <w:tabs>
          <w:tab w:val="left" w:pos="1140"/>
        </w:tabs>
        <w:ind w:left="726" w:hanging="363"/>
      </w:pPr>
    </w:lvl>
    <w:lvl w:ilvl="6" w:tentative="0">
      <w:start w:val="1"/>
      <w:numFmt w:val="decimal"/>
      <w:lvlText w:val="%7."/>
      <w:lvlJc w:val="left"/>
      <w:pPr>
        <w:tabs>
          <w:tab w:val="left" w:pos="1140"/>
        </w:tabs>
        <w:ind w:left="726" w:hanging="363"/>
      </w:pPr>
    </w:lvl>
    <w:lvl w:ilvl="7" w:tentative="0">
      <w:start w:val="1"/>
      <w:numFmt w:val="lowerLetter"/>
      <w:lvlText w:val="%8)"/>
      <w:lvlJc w:val="left"/>
      <w:pPr>
        <w:tabs>
          <w:tab w:val="left" w:pos="1140"/>
        </w:tabs>
        <w:ind w:left="726" w:hanging="363"/>
      </w:pPr>
    </w:lvl>
    <w:lvl w:ilvl="8" w:tentative="0">
      <w:start w:val="1"/>
      <w:numFmt w:val="lowerRoman"/>
      <w:lvlText w:val="%9."/>
      <w:lvlJc w:val="right"/>
      <w:pPr>
        <w:tabs>
          <w:tab w:val="left" w:pos="1140"/>
        </w:tabs>
        <w:ind w:left="726" w:hanging="363"/>
      </w:pPr>
    </w:lvl>
  </w:abstractNum>
  <w:abstractNum w:abstractNumId="3">
    <w:nsid w:val="EC520B8A"/>
    <w:multiLevelType w:val="multilevel"/>
    <w:tmpl w:val="EC520B8A"/>
    <w:lvl w:ilvl="0" w:tentative="0">
      <w:start w:val="1"/>
      <w:numFmt w:val="none"/>
      <w:suff w:val="nothing"/>
      <w:lvlText w:val="%1"/>
      <w:lvlJc w:val="left"/>
      <w:pPr>
        <w:tabs>
          <w:tab w:val="left" w:pos="0"/>
        </w:tabs>
        <w:ind w:left="0" w:firstLine="0"/>
      </w:pPr>
      <w:rPr>
        <w:rFonts w:cs="Times New Roman"/>
      </w:rPr>
    </w:lvl>
    <w:lvl w:ilvl="1" w:tentative="0">
      <w:start w:val="1"/>
      <w:numFmt w:val="decimal"/>
      <w:suff w:val="nothing"/>
      <w:lvlText w:val="%1%2　"/>
      <w:lvlJc w:val="left"/>
      <w:pPr>
        <w:tabs>
          <w:tab w:val="left" w:pos="0"/>
        </w:tabs>
        <w:ind w:left="0" w:firstLine="0"/>
      </w:pPr>
      <w:rPr>
        <w:rFonts w:hint="eastAsia" w:ascii="黑体" w:hAnsi="Times New Roman" w:eastAsia="黑体" w:cs="Times New Roman"/>
        <w:b w:val="0"/>
        <w:i w:val="0"/>
        <w:sz w:val="21"/>
      </w:rPr>
    </w:lvl>
    <w:lvl w:ilvl="2" w:tentative="0">
      <w:start w:val="1"/>
      <w:numFmt w:val="decimal"/>
      <w:pStyle w:val="40"/>
      <w:suff w:val="nothing"/>
      <w:lvlText w:val="%1%2.%3　"/>
      <w:lvlJc w:val="left"/>
      <w:pPr>
        <w:tabs>
          <w:tab w:val="left" w:pos="0"/>
        </w:tabs>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tabs>
          <w:tab w:val="left" w:pos="0"/>
        </w:tabs>
        <w:ind w:left="0" w:firstLine="0"/>
      </w:pPr>
      <w:rPr>
        <w:rFonts w:hint="eastAsia" w:ascii="黑体" w:hAnsi="Times New Roman" w:eastAsia="黑体" w:cs="Times New Roman"/>
        <w:b w:val="0"/>
        <w:i w:val="0"/>
        <w:sz w:val="21"/>
      </w:rPr>
    </w:lvl>
    <w:lvl w:ilvl="4" w:tentative="0">
      <w:start w:val="1"/>
      <w:numFmt w:val="decimal"/>
      <w:suff w:val="nothing"/>
      <w:lvlText w:val="%1%2.%3.%4.%5　"/>
      <w:lvlJc w:val="left"/>
      <w:pPr>
        <w:tabs>
          <w:tab w:val="left" w:pos="0"/>
        </w:tabs>
        <w:ind w:left="0" w:firstLine="0"/>
      </w:pPr>
      <w:rPr>
        <w:rFonts w:hint="eastAsia" w:ascii="黑体" w:hAnsi="Times New Roman" w:eastAsia="黑体" w:cs="Times New Roman"/>
        <w:b w:val="0"/>
        <w:i w:val="0"/>
        <w:sz w:val="21"/>
      </w:rPr>
    </w:lvl>
    <w:lvl w:ilvl="5" w:tentative="0">
      <w:start w:val="1"/>
      <w:numFmt w:val="decimal"/>
      <w:suff w:val="nothing"/>
      <w:lvlText w:val="%1%2.%3.%4.%5.%6　"/>
      <w:lvlJc w:val="left"/>
      <w:pPr>
        <w:tabs>
          <w:tab w:val="left" w:pos="0"/>
        </w:tabs>
        <w:ind w:left="0" w:firstLine="0"/>
      </w:pPr>
      <w:rPr>
        <w:rFonts w:hint="eastAsia" w:ascii="黑体" w:hAnsi="Times New Roman" w:eastAsia="黑体" w:cs="Times New Roman"/>
        <w:b w:val="0"/>
        <w:i w:val="0"/>
        <w:sz w:val="21"/>
      </w:rPr>
    </w:lvl>
    <w:lvl w:ilvl="6" w:tentative="0">
      <w:start w:val="1"/>
      <w:numFmt w:val="decimal"/>
      <w:suff w:val="nothing"/>
      <w:lvlText w:val="%1%2.%3.%4.%5.%6.%7　"/>
      <w:lvlJc w:val="left"/>
      <w:pPr>
        <w:tabs>
          <w:tab w:val="left" w:pos="0"/>
        </w:tabs>
        <w:ind w:left="0" w:firstLine="0"/>
      </w:pPr>
      <w:rPr>
        <w:rFonts w:hint="eastAsia" w:ascii="黑体" w:hAnsi="Times New Roman" w:eastAsia="黑体" w:cs="Times New Roman"/>
        <w:b w:val="0"/>
        <w:i w:val="0"/>
        <w:sz w:val="21"/>
      </w:rPr>
    </w:lvl>
    <w:lvl w:ilvl="7" w:tentative="0">
      <w:start w:val="1"/>
      <w:numFmt w:val="decimal"/>
      <w:lvlText w:val="%1.%2.%3.%4.%5.%6.%7.%8"/>
      <w:lvlJc w:val="left"/>
      <w:pPr>
        <w:tabs>
          <w:tab w:val="left" w:pos="4351"/>
        </w:tabs>
        <w:ind w:left="3972" w:hanging="1418"/>
      </w:pPr>
      <w:rPr>
        <w:rFonts w:cs="Times New Roman"/>
      </w:rPr>
    </w:lvl>
    <w:lvl w:ilvl="8" w:tentative="0">
      <w:start w:val="1"/>
      <w:numFmt w:val="decimal"/>
      <w:lvlText w:val="%1.%2.%3.%4.%5.%6.%7.%8.%9"/>
      <w:lvlJc w:val="left"/>
      <w:pPr>
        <w:tabs>
          <w:tab w:val="left" w:pos="4777"/>
        </w:tabs>
        <w:ind w:left="4677" w:hanging="1700"/>
      </w:pPr>
      <w:rPr>
        <w:rFonts w:cs="Times New Roman"/>
      </w:rPr>
    </w:lvl>
  </w:abstractNum>
  <w:abstractNum w:abstractNumId="4">
    <w:nsid w:val="079102AD"/>
    <w:multiLevelType w:val="multilevel"/>
    <w:tmpl w:val="079102AD"/>
    <w:lvl w:ilvl="0" w:tentative="0">
      <w:start w:val="1"/>
      <w:numFmt w:val="decimal"/>
      <w:pStyle w:val="22"/>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5">
    <w:nsid w:val="0DDE2B46"/>
    <w:multiLevelType w:val="multilevel"/>
    <w:tmpl w:val="0DDE2B46"/>
    <w:lvl w:ilvl="0" w:tentative="0">
      <w:start w:val="1"/>
      <w:numFmt w:val="lowerLetter"/>
      <w:pStyle w:val="26"/>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6">
    <w:nsid w:val="19A288B3"/>
    <w:multiLevelType w:val="multilevel"/>
    <w:tmpl w:val="19A288B3"/>
    <w:lvl w:ilvl="0" w:tentative="0">
      <w:start w:val="1"/>
      <w:numFmt w:val="upperLetter"/>
      <w:suff w:val="nothing"/>
      <w:lvlText w:val="附录%1"/>
      <w:lvlJc w:val="left"/>
      <w:pPr>
        <w:ind w:left="0" w:firstLine="0"/>
      </w:pPr>
      <w:rPr>
        <w:spacing w:val="100"/>
      </w:rPr>
    </w:lvl>
    <w:lvl w:ilvl="1" w:tentative="0">
      <w:start w:val="1"/>
      <w:numFmt w:val="decimal"/>
      <w:pStyle w:val="47"/>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pPr>
      <w:rPr>
        <w:rFonts w:hint="eastAsia" w:ascii="黑体" w:hAnsi="Times New Roman" w:eastAsia="黑体" w:cs="黑体"/>
        <w:b w:val="0"/>
        <w:i w:val="0"/>
        <w:sz w:val="21"/>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7">
    <w:nsid w:val="1DBF583A"/>
    <w:multiLevelType w:val="multilevel"/>
    <w:tmpl w:val="1DBF583A"/>
    <w:lvl w:ilvl="0" w:tentative="0">
      <w:start w:val="1"/>
      <w:numFmt w:val="decimal"/>
      <w:pStyle w:val="25"/>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8">
    <w:nsid w:val="1FC91163"/>
    <w:multiLevelType w:val="multilevel"/>
    <w:tmpl w:val="1FC91163"/>
    <w:lvl w:ilvl="0" w:tentative="0">
      <w:start w:val="1"/>
      <w:numFmt w:val="decimal"/>
      <w:pStyle w:val="17"/>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39"/>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9">
    <w:nsid w:val="2A8F7113"/>
    <w:multiLevelType w:val="multilevel"/>
    <w:tmpl w:val="2A8F7113"/>
    <w:lvl w:ilvl="0" w:tentative="0">
      <w:start w:val="1"/>
      <w:numFmt w:val="upperLetter"/>
      <w:pStyle w:val="23"/>
      <w:suff w:val="space"/>
      <w:lvlText w:val="%1"/>
      <w:lvlJc w:val="left"/>
      <w:pPr>
        <w:ind w:left="623" w:hanging="425"/>
      </w:pPr>
      <w:rPr>
        <w:rFonts w:hint="eastAsia"/>
      </w:rPr>
    </w:lvl>
    <w:lvl w:ilvl="1" w:tentative="0">
      <w:start w:val="1"/>
      <w:numFmt w:val="decimal"/>
      <w:pStyle w:val="24"/>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10">
    <w:nsid w:val="34FD0FF7"/>
    <w:multiLevelType w:val="multilevel"/>
    <w:tmpl w:val="34FD0FF7"/>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pStyle w:val="43"/>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11">
    <w:nsid w:val="557C2AF5"/>
    <w:multiLevelType w:val="multilevel"/>
    <w:tmpl w:val="557C2AF5"/>
    <w:lvl w:ilvl="0" w:tentative="0">
      <w:start w:val="1"/>
      <w:numFmt w:val="decimal"/>
      <w:pStyle w:val="15"/>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2">
    <w:nsid w:val="5B36EB98"/>
    <w:multiLevelType w:val="multilevel"/>
    <w:tmpl w:val="5B36EB98"/>
    <w:lvl w:ilvl="0" w:tentative="0">
      <w:start w:val="1"/>
      <w:numFmt w:val="none"/>
      <w:pStyle w:val="44"/>
      <w:lvlText w:val="%1——"/>
      <w:lvlJc w:val="left"/>
      <w:pPr>
        <w:tabs>
          <w:tab w:val="left" w:pos="851"/>
        </w:tabs>
        <w:ind w:left="851" w:hanging="426"/>
      </w:pPr>
      <w:rPr>
        <w:rFonts w:hint="eastAsia" w:ascii="宋体" w:hAnsi="Times New Roman" w:eastAsia="宋体" w:cs="宋体"/>
        <w:b w:val="0"/>
        <w:i w:val="0"/>
        <w:sz w:val="21"/>
      </w:rPr>
    </w:lvl>
    <w:lvl w:ilvl="1" w:tentative="0">
      <w:start w:val="1"/>
      <w:numFmt w:val="none"/>
      <w:lvlText w:val=""/>
      <w:lvlJc w:val="left"/>
      <w:pPr>
        <w:ind w:left="851" w:hanging="431"/>
      </w:pPr>
      <w:rPr>
        <w:rFonts w:ascii="Symbol" w:hAnsi="Symbol" w:cs="Symbol"/>
        <w:sz w:val="21"/>
      </w:rPr>
    </w:lvl>
    <w:lvl w:ilvl="2" w:tentative="0">
      <w:start w:val="1"/>
      <w:numFmt w:val="bullet"/>
      <w:lvlText w:val=""/>
      <w:lvlJc w:val="left"/>
      <w:pPr>
        <w:ind w:left="851" w:hanging="426"/>
      </w:pPr>
      <w:rPr>
        <w:rFonts w:hint="default" w:ascii="Wingdings" w:hAnsi="Wingdings" w:cs="Wingdings"/>
        <w:sz w:val="21"/>
      </w:rPr>
    </w:lvl>
    <w:lvl w:ilvl="3" w:tentative="0">
      <w:start w:val="1"/>
      <w:numFmt w:val="decimal"/>
      <w:lvlText w:val="%4."/>
      <w:lvlJc w:val="left"/>
      <w:pPr>
        <w:tabs>
          <w:tab w:val="left" w:pos="2071"/>
        </w:tabs>
        <w:ind w:left="1884" w:hanging="528"/>
      </w:pPr>
    </w:lvl>
    <w:lvl w:ilvl="4" w:tentative="0">
      <w:start w:val="1"/>
      <w:numFmt w:val="lowerLetter"/>
      <w:lvlText w:val="%5)"/>
      <w:lvlJc w:val="left"/>
      <w:pPr>
        <w:tabs>
          <w:tab w:val="left" w:pos="2383"/>
        </w:tabs>
        <w:ind w:left="2196" w:hanging="528"/>
      </w:pPr>
    </w:lvl>
    <w:lvl w:ilvl="5" w:tentative="0">
      <w:start w:val="1"/>
      <w:numFmt w:val="lowerRoman"/>
      <w:lvlText w:val="%6."/>
      <w:lvlJc w:val="right"/>
      <w:pPr>
        <w:tabs>
          <w:tab w:val="left" w:pos="2695"/>
        </w:tabs>
        <w:ind w:left="2508" w:hanging="528"/>
      </w:pPr>
    </w:lvl>
    <w:lvl w:ilvl="6" w:tentative="0">
      <w:start w:val="1"/>
      <w:numFmt w:val="decimal"/>
      <w:lvlText w:val="%7."/>
      <w:lvlJc w:val="left"/>
      <w:pPr>
        <w:tabs>
          <w:tab w:val="left" w:pos="3007"/>
        </w:tabs>
        <w:ind w:left="2820" w:hanging="528"/>
      </w:pPr>
    </w:lvl>
    <w:lvl w:ilvl="7" w:tentative="0">
      <w:start w:val="1"/>
      <w:numFmt w:val="lowerLetter"/>
      <w:lvlText w:val="%8)"/>
      <w:lvlJc w:val="left"/>
      <w:pPr>
        <w:tabs>
          <w:tab w:val="left" w:pos="3319"/>
        </w:tabs>
        <w:ind w:left="3132" w:hanging="528"/>
      </w:pPr>
    </w:lvl>
    <w:lvl w:ilvl="8" w:tentative="0">
      <w:start w:val="1"/>
      <w:numFmt w:val="lowerRoman"/>
      <w:lvlText w:val="%9."/>
      <w:lvlJc w:val="right"/>
      <w:pPr>
        <w:tabs>
          <w:tab w:val="left" w:pos="3631"/>
        </w:tabs>
        <w:ind w:left="3444" w:hanging="528"/>
      </w:pPr>
    </w:lvl>
  </w:abstractNum>
  <w:abstractNum w:abstractNumId="13">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0"/>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14">
    <w:nsid w:val="646260FA"/>
    <w:multiLevelType w:val="multilevel"/>
    <w:tmpl w:val="646260FA"/>
    <w:lvl w:ilvl="0" w:tentative="0">
      <w:start w:val="1"/>
      <w:numFmt w:val="decimal"/>
      <w:pStyle w:val="14"/>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5">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42"/>
      <w:suff w:val="nothing"/>
      <w:lvlText w:val="%1%2　"/>
      <w:lvlJc w:val="left"/>
      <w:pPr>
        <w:ind w:left="0" w:firstLine="0"/>
      </w:pPr>
      <w:rPr>
        <w:rFonts w:hint="eastAsia" w:ascii="黑体" w:eastAsia="黑体"/>
        <w:b w:val="0"/>
        <w:i w:val="0"/>
        <w:sz w:val="21"/>
      </w:rPr>
    </w:lvl>
    <w:lvl w:ilvl="2" w:tentative="0">
      <w:start w:val="1"/>
      <w:numFmt w:val="decimal"/>
      <w:pStyle w:val="41"/>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4"/>
  </w:num>
  <w:num w:numId="2">
    <w:abstractNumId w:val="11"/>
  </w:num>
  <w:num w:numId="3">
    <w:abstractNumId w:val="8"/>
  </w:num>
  <w:num w:numId="4">
    <w:abstractNumId w:val="4"/>
  </w:num>
  <w:num w:numId="5">
    <w:abstractNumId w:val="9"/>
  </w:num>
  <w:num w:numId="6">
    <w:abstractNumId w:val="7"/>
  </w:num>
  <w:num w:numId="7">
    <w:abstractNumId w:val="5"/>
  </w:num>
  <w:num w:numId="8">
    <w:abstractNumId w:val="13"/>
  </w:num>
  <w:num w:numId="9">
    <w:abstractNumId w:val="3"/>
  </w:num>
  <w:num w:numId="10">
    <w:abstractNumId w:val="15"/>
  </w:num>
  <w:num w:numId="11">
    <w:abstractNumId w:val="10"/>
  </w:num>
  <w:num w:numId="12">
    <w:abstractNumId w:val="12"/>
  </w:num>
  <w:num w:numId="13">
    <w:abstractNumId w:val="1"/>
  </w:num>
  <w:num w:numId="14">
    <w:abstractNumId w:val="6"/>
  </w:num>
  <w:num w:numId="15">
    <w:abstractNumId w:val="0"/>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45B7"/>
    <w:rsid w:val="00005CA4"/>
    <w:rsid w:val="000107BC"/>
    <w:rsid w:val="00013090"/>
    <w:rsid w:val="0001436A"/>
    <w:rsid w:val="00016837"/>
    <w:rsid w:val="00021331"/>
    <w:rsid w:val="00023119"/>
    <w:rsid w:val="00023FE2"/>
    <w:rsid w:val="00024212"/>
    <w:rsid w:val="00024664"/>
    <w:rsid w:val="00030899"/>
    <w:rsid w:val="00032CD6"/>
    <w:rsid w:val="00033257"/>
    <w:rsid w:val="00034233"/>
    <w:rsid w:val="00034BDB"/>
    <w:rsid w:val="00037BE4"/>
    <w:rsid w:val="00045F9A"/>
    <w:rsid w:val="00047AE5"/>
    <w:rsid w:val="00047D7B"/>
    <w:rsid w:val="00053B0B"/>
    <w:rsid w:val="00056C7D"/>
    <w:rsid w:val="000576D0"/>
    <w:rsid w:val="00057758"/>
    <w:rsid w:val="00060FE2"/>
    <w:rsid w:val="00064EC7"/>
    <w:rsid w:val="0007330D"/>
    <w:rsid w:val="00073F72"/>
    <w:rsid w:val="0007426A"/>
    <w:rsid w:val="00074EB1"/>
    <w:rsid w:val="00076BBA"/>
    <w:rsid w:val="00080F2F"/>
    <w:rsid w:val="0008140C"/>
    <w:rsid w:val="0008145A"/>
    <w:rsid w:val="0009177A"/>
    <w:rsid w:val="0009191C"/>
    <w:rsid w:val="00091C9D"/>
    <w:rsid w:val="0009320B"/>
    <w:rsid w:val="00093E74"/>
    <w:rsid w:val="00095E9F"/>
    <w:rsid w:val="000962F6"/>
    <w:rsid w:val="000A0201"/>
    <w:rsid w:val="000A1EAE"/>
    <w:rsid w:val="000A3070"/>
    <w:rsid w:val="000A4601"/>
    <w:rsid w:val="000A77CD"/>
    <w:rsid w:val="000B1263"/>
    <w:rsid w:val="000B572A"/>
    <w:rsid w:val="000C14DF"/>
    <w:rsid w:val="000C456D"/>
    <w:rsid w:val="000D0ACE"/>
    <w:rsid w:val="000D15BE"/>
    <w:rsid w:val="000D5AC8"/>
    <w:rsid w:val="000D6612"/>
    <w:rsid w:val="000D751C"/>
    <w:rsid w:val="000D7F33"/>
    <w:rsid w:val="000F10EB"/>
    <w:rsid w:val="000F3365"/>
    <w:rsid w:val="000F517A"/>
    <w:rsid w:val="000F75EF"/>
    <w:rsid w:val="001012D5"/>
    <w:rsid w:val="00101D2E"/>
    <w:rsid w:val="00103B83"/>
    <w:rsid w:val="00105252"/>
    <w:rsid w:val="001056B6"/>
    <w:rsid w:val="001062E3"/>
    <w:rsid w:val="00106661"/>
    <w:rsid w:val="0010769F"/>
    <w:rsid w:val="00110864"/>
    <w:rsid w:val="00110F43"/>
    <w:rsid w:val="00111F38"/>
    <w:rsid w:val="00112415"/>
    <w:rsid w:val="00113B53"/>
    <w:rsid w:val="00114946"/>
    <w:rsid w:val="00122573"/>
    <w:rsid w:val="00126CA6"/>
    <w:rsid w:val="001273E7"/>
    <w:rsid w:val="00127EB0"/>
    <w:rsid w:val="00130204"/>
    <w:rsid w:val="00131B03"/>
    <w:rsid w:val="00132C5F"/>
    <w:rsid w:val="00133786"/>
    <w:rsid w:val="00134DD4"/>
    <w:rsid w:val="001435D3"/>
    <w:rsid w:val="001449B5"/>
    <w:rsid w:val="001463AC"/>
    <w:rsid w:val="0015152A"/>
    <w:rsid w:val="00153EC6"/>
    <w:rsid w:val="00156020"/>
    <w:rsid w:val="00156663"/>
    <w:rsid w:val="001611BB"/>
    <w:rsid w:val="00165F71"/>
    <w:rsid w:val="00167167"/>
    <w:rsid w:val="001708F8"/>
    <w:rsid w:val="0018112C"/>
    <w:rsid w:val="00183467"/>
    <w:rsid w:val="0018451D"/>
    <w:rsid w:val="00190A64"/>
    <w:rsid w:val="00190C6A"/>
    <w:rsid w:val="00191774"/>
    <w:rsid w:val="00191DCE"/>
    <w:rsid w:val="001923CF"/>
    <w:rsid w:val="001925FD"/>
    <w:rsid w:val="00192FF7"/>
    <w:rsid w:val="001930A1"/>
    <w:rsid w:val="00194FE3"/>
    <w:rsid w:val="00196054"/>
    <w:rsid w:val="0019711F"/>
    <w:rsid w:val="001A0DBF"/>
    <w:rsid w:val="001A1271"/>
    <w:rsid w:val="001A3402"/>
    <w:rsid w:val="001B0E92"/>
    <w:rsid w:val="001B36E5"/>
    <w:rsid w:val="001B3B17"/>
    <w:rsid w:val="001C5F01"/>
    <w:rsid w:val="001C793C"/>
    <w:rsid w:val="001D22F0"/>
    <w:rsid w:val="001D64DB"/>
    <w:rsid w:val="001D7816"/>
    <w:rsid w:val="001E4FA7"/>
    <w:rsid w:val="001E5000"/>
    <w:rsid w:val="001F07A8"/>
    <w:rsid w:val="001F16E6"/>
    <w:rsid w:val="001F241E"/>
    <w:rsid w:val="001F537A"/>
    <w:rsid w:val="001F660A"/>
    <w:rsid w:val="001F79F5"/>
    <w:rsid w:val="001F7E35"/>
    <w:rsid w:val="00205235"/>
    <w:rsid w:val="00205603"/>
    <w:rsid w:val="00210916"/>
    <w:rsid w:val="002116FB"/>
    <w:rsid w:val="00214221"/>
    <w:rsid w:val="00217683"/>
    <w:rsid w:val="002223DD"/>
    <w:rsid w:val="002231E8"/>
    <w:rsid w:val="00223EB7"/>
    <w:rsid w:val="00224EB8"/>
    <w:rsid w:val="00231E62"/>
    <w:rsid w:val="00232769"/>
    <w:rsid w:val="00244ADA"/>
    <w:rsid w:val="00244C0C"/>
    <w:rsid w:val="00245638"/>
    <w:rsid w:val="002465C7"/>
    <w:rsid w:val="002526F3"/>
    <w:rsid w:val="00254F7A"/>
    <w:rsid w:val="00256335"/>
    <w:rsid w:val="00256FE0"/>
    <w:rsid w:val="002614C6"/>
    <w:rsid w:val="002621E1"/>
    <w:rsid w:val="0026265B"/>
    <w:rsid w:val="00262753"/>
    <w:rsid w:val="00262771"/>
    <w:rsid w:val="0026294C"/>
    <w:rsid w:val="00262F6C"/>
    <w:rsid w:val="00264409"/>
    <w:rsid w:val="00264A7D"/>
    <w:rsid w:val="00264CE4"/>
    <w:rsid w:val="002651A9"/>
    <w:rsid w:val="00266090"/>
    <w:rsid w:val="0027235B"/>
    <w:rsid w:val="00277C35"/>
    <w:rsid w:val="00283085"/>
    <w:rsid w:val="00283E25"/>
    <w:rsid w:val="00283FA7"/>
    <w:rsid w:val="0029084D"/>
    <w:rsid w:val="00291D7F"/>
    <w:rsid w:val="00291EF3"/>
    <w:rsid w:val="00293F7B"/>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2662"/>
    <w:rsid w:val="002D49CC"/>
    <w:rsid w:val="002D6D1E"/>
    <w:rsid w:val="002E073F"/>
    <w:rsid w:val="002E6D0B"/>
    <w:rsid w:val="002E7467"/>
    <w:rsid w:val="002E7A35"/>
    <w:rsid w:val="002F0E51"/>
    <w:rsid w:val="002F34AA"/>
    <w:rsid w:val="002F3D23"/>
    <w:rsid w:val="002F4B59"/>
    <w:rsid w:val="002F4D7B"/>
    <w:rsid w:val="002F513F"/>
    <w:rsid w:val="002F613B"/>
    <w:rsid w:val="003025DF"/>
    <w:rsid w:val="00303DFF"/>
    <w:rsid w:val="00303E23"/>
    <w:rsid w:val="00304BFD"/>
    <w:rsid w:val="0030637F"/>
    <w:rsid w:val="00306925"/>
    <w:rsid w:val="00306987"/>
    <w:rsid w:val="0031011D"/>
    <w:rsid w:val="00311AEE"/>
    <w:rsid w:val="003144B8"/>
    <w:rsid w:val="00314640"/>
    <w:rsid w:val="00327623"/>
    <w:rsid w:val="00331E95"/>
    <w:rsid w:val="0033375C"/>
    <w:rsid w:val="003337D8"/>
    <w:rsid w:val="0034090F"/>
    <w:rsid w:val="00343C24"/>
    <w:rsid w:val="00345BCC"/>
    <w:rsid w:val="00346AF4"/>
    <w:rsid w:val="00352D8D"/>
    <w:rsid w:val="00353735"/>
    <w:rsid w:val="00354D06"/>
    <w:rsid w:val="00355B39"/>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D3D"/>
    <w:rsid w:val="00392E22"/>
    <w:rsid w:val="00393033"/>
    <w:rsid w:val="00396025"/>
    <w:rsid w:val="003B2F32"/>
    <w:rsid w:val="003B5050"/>
    <w:rsid w:val="003B729F"/>
    <w:rsid w:val="003C2D44"/>
    <w:rsid w:val="003C483D"/>
    <w:rsid w:val="003D3AF0"/>
    <w:rsid w:val="003D48B6"/>
    <w:rsid w:val="003D51D0"/>
    <w:rsid w:val="003D5CB5"/>
    <w:rsid w:val="003D6E58"/>
    <w:rsid w:val="003E06D2"/>
    <w:rsid w:val="003E330B"/>
    <w:rsid w:val="003E4A86"/>
    <w:rsid w:val="003E6A6E"/>
    <w:rsid w:val="003E78CB"/>
    <w:rsid w:val="003F284D"/>
    <w:rsid w:val="003F28D0"/>
    <w:rsid w:val="003F3119"/>
    <w:rsid w:val="003F392A"/>
    <w:rsid w:val="003F3AAC"/>
    <w:rsid w:val="003F51A3"/>
    <w:rsid w:val="003F727B"/>
    <w:rsid w:val="0040035D"/>
    <w:rsid w:val="00403F64"/>
    <w:rsid w:val="00404BD1"/>
    <w:rsid w:val="004050BE"/>
    <w:rsid w:val="0040610D"/>
    <w:rsid w:val="00406A80"/>
    <w:rsid w:val="00415E50"/>
    <w:rsid w:val="0042062E"/>
    <w:rsid w:val="00424AF1"/>
    <w:rsid w:val="00424FCB"/>
    <w:rsid w:val="00425860"/>
    <w:rsid w:val="00427B81"/>
    <w:rsid w:val="00434E46"/>
    <w:rsid w:val="00434F90"/>
    <w:rsid w:val="004378E4"/>
    <w:rsid w:val="0044118D"/>
    <w:rsid w:val="004441BD"/>
    <w:rsid w:val="00446DF8"/>
    <w:rsid w:val="004503F4"/>
    <w:rsid w:val="0045483D"/>
    <w:rsid w:val="00455661"/>
    <w:rsid w:val="0046025A"/>
    <w:rsid w:val="00460359"/>
    <w:rsid w:val="004605D8"/>
    <w:rsid w:val="004626AF"/>
    <w:rsid w:val="00462BA6"/>
    <w:rsid w:val="00465230"/>
    <w:rsid w:val="00467DEF"/>
    <w:rsid w:val="004715D8"/>
    <w:rsid w:val="00475C51"/>
    <w:rsid w:val="004805D0"/>
    <w:rsid w:val="00480BA1"/>
    <w:rsid w:val="004814A9"/>
    <w:rsid w:val="0048357F"/>
    <w:rsid w:val="00484EF3"/>
    <w:rsid w:val="00485212"/>
    <w:rsid w:val="004865C9"/>
    <w:rsid w:val="0049011A"/>
    <w:rsid w:val="00491FE3"/>
    <w:rsid w:val="0049241F"/>
    <w:rsid w:val="0049390C"/>
    <w:rsid w:val="004978D0"/>
    <w:rsid w:val="00497F2C"/>
    <w:rsid w:val="004A25C4"/>
    <w:rsid w:val="004A2878"/>
    <w:rsid w:val="004A30C1"/>
    <w:rsid w:val="004A614E"/>
    <w:rsid w:val="004A660C"/>
    <w:rsid w:val="004A76AB"/>
    <w:rsid w:val="004B21CC"/>
    <w:rsid w:val="004B2E7F"/>
    <w:rsid w:val="004B31EC"/>
    <w:rsid w:val="004C4136"/>
    <w:rsid w:val="004D155D"/>
    <w:rsid w:val="004D2302"/>
    <w:rsid w:val="004D393C"/>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3360"/>
    <w:rsid w:val="00514C97"/>
    <w:rsid w:val="005159F5"/>
    <w:rsid w:val="00516AFA"/>
    <w:rsid w:val="00526200"/>
    <w:rsid w:val="005269CF"/>
    <w:rsid w:val="00531F91"/>
    <w:rsid w:val="00533886"/>
    <w:rsid w:val="0053418A"/>
    <w:rsid w:val="005359A8"/>
    <w:rsid w:val="00535AC6"/>
    <w:rsid w:val="00537550"/>
    <w:rsid w:val="00541E4A"/>
    <w:rsid w:val="0054317B"/>
    <w:rsid w:val="0054419E"/>
    <w:rsid w:val="00546DEA"/>
    <w:rsid w:val="005472BF"/>
    <w:rsid w:val="00550CB5"/>
    <w:rsid w:val="00551464"/>
    <w:rsid w:val="005639F8"/>
    <w:rsid w:val="00564490"/>
    <w:rsid w:val="0056514B"/>
    <w:rsid w:val="005656AA"/>
    <w:rsid w:val="00567D28"/>
    <w:rsid w:val="005742DB"/>
    <w:rsid w:val="00577C08"/>
    <w:rsid w:val="005802BD"/>
    <w:rsid w:val="0058151C"/>
    <w:rsid w:val="00581CE7"/>
    <w:rsid w:val="00582F5C"/>
    <w:rsid w:val="0058472C"/>
    <w:rsid w:val="00584928"/>
    <w:rsid w:val="005870E5"/>
    <w:rsid w:val="005873D6"/>
    <w:rsid w:val="005876DE"/>
    <w:rsid w:val="005911A0"/>
    <w:rsid w:val="00593466"/>
    <w:rsid w:val="00596702"/>
    <w:rsid w:val="005A1A17"/>
    <w:rsid w:val="005A43D1"/>
    <w:rsid w:val="005A4523"/>
    <w:rsid w:val="005A4707"/>
    <w:rsid w:val="005B0CDC"/>
    <w:rsid w:val="005B23F7"/>
    <w:rsid w:val="005B2FE8"/>
    <w:rsid w:val="005B6595"/>
    <w:rsid w:val="005B7128"/>
    <w:rsid w:val="005B76D5"/>
    <w:rsid w:val="005B7B7E"/>
    <w:rsid w:val="005C468E"/>
    <w:rsid w:val="005D06D6"/>
    <w:rsid w:val="005D1EE1"/>
    <w:rsid w:val="005D2762"/>
    <w:rsid w:val="005D2AEE"/>
    <w:rsid w:val="005D3F96"/>
    <w:rsid w:val="005D4755"/>
    <w:rsid w:val="005D5DDF"/>
    <w:rsid w:val="005D6A5C"/>
    <w:rsid w:val="005E05D4"/>
    <w:rsid w:val="005E207A"/>
    <w:rsid w:val="005E2143"/>
    <w:rsid w:val="005F0995"/>
    <w:rsid w:val="005F1E35"/>
    <w:rsid w:val="005F36D9"/>
    <w:rsid w:val="005F405C"/>
    <w:rsid w:val="005F4F92"/>
    <w:rsid w:val="005F6C71"/>
    <w:rsid w:val="005F71EC"/>
    <w:rsid w:val="005F7613"/>
    <w:rsid w:val="006057C1"/>
    <w:rsid w:val="006062AE"/>
    <w:rsid w:val="0060656D"/>
    <w:rsid w:val="00606A4C"/>
    <w:rsid w:val="00606B5A"/>
    <w:rsid w:val="00610884"/>
    <w:rsid w:val="00612B9C"/>
    <w:rsid w:val="00614347"/>
    <w:rsid w:val="006147DA"/>
    <w:rsid w:val="0062702A"/>
    <w:rsid w:val="00627069"/>
    <w:rsid w:val="00632957"/>
    <w:rsid w:val="00633D1D"/>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85A3F"/>
    <w:rsid w:val="0068700F"/>
    <w:rsid w:val="00690D6C"/>
    <w:rsid w:val="006945D3"/>
    <w:rsid w:val="00695E71"/>
    <w:rsid w:val="006A1BD7"/>
    <w:rsid w:val="006A3112"/>
    <w:rsid w:val="006A5E6B"/>
    <w:rsid w:val="006B1080"/>
    <w:rsid w:val="006B5474"/>
    <w:rsid w:val="006B6EA3"/>
    <w:rsid w:val="006C0CC1"/>
    <w:rsid w:val="006C6B87"/>
    <w:rsid w:val="006C70ED"/>
    <w:rsid w:val="006D0354"/>
    <w:rsid w:val="006D4B56"/>
    <w:rsid w:val="006D4CCC"/>
    <w:rsid w:val="006D5788"/>
    <w:rsid w:val="006D5B2E"/>
    <w:rsid w:val="006D5D5F"/>
    <w:rsid w:val="006D5F0F"/>
    <w:rsid w:val="006E155C"/>
    <w:rsid w:val="006E1B63"/>
    <w:rsid w:val="006E65EC"/>
    <w:rsid w:val="006E7520"/>
    <w:rsid w:val="006F03ED"/>
    <w:rsid w:val="006F67E6"/>
    <w:rsid w:val="006F77F7"/>
    <w:rsid w:val="00700D32"/>
    <w:rsid w:val="0070138D"/>
    <w:rsid w:val="00701A2B"/>
    <w:rsid w:val="0070266E"/>
    <w:rsid w:val="00705429"/>
    <w:rsid w:val="00705481"/>
    <w:rsid w:val="00705F4C"/>
    <w:rsid w:val="0070730B"/>
    <w:rsid w:val="0070757F"/>
    <w:rsid w:val="00712BC5"/>
    <w:rsid w:val="00712EAF"/>
    <w:rsid w:val="00715CA4"/>
    <w:rsid w:val="00716EAC"/>
    <w:rsid w:val="00720395"/>
    <w:rsid w:val="00722AAE"/>
    <w:rsid w:val="0072448B"/>
    <w:rsid w:val="007245EF"/>
    <w:rsid w:val="00726016"/>
    <w:rsid w:val="0072626D"/>
    <w:rsid w:val="00726F82"/>
    <w:rsid w:val="007432F4"/>
    <w:rsid w:val="00752CD6"/>
    <w:rsid w:val="00753612"/>
    <w:rsid w:val="0075401E"/>
    <w:rsid w:val="00755471"/>
    <w:rsid w:val="007556A8"/>
    <w:rsid w:val="00756686"/>
    <w:rsid w:val="00760DDA"/>
    <w:rsid w:val="00760FBD"/>
    <w:rsid w:val="0076688F"/>
    <w:rsid w:val="00773206"/>
    <w:rsid w:val="00774780"/>
    <w:rsid w:val="00775FA3"/>
    <w:rsid w:val="007768A2"/>
    <w:rsid w:val="00776FE6"/>
    <w:rsid w:val="007773E1"/>
    <w:rsid w:val="007812EA"/>
    <w:rsid w:val="00781F1A"/>
    <w:rsid w:val="00782C84"/>
    <w:rsid w:val="00784D8F"/>
    <w:rsid w:val="007912E9"/>
    <w:rsid w:val="007923BD"/>
    <w:rsid w:val="00793820"/>
    <w:rsid w:val="00797654"/>
    <w:rsid w:val="00797B14"/>
    <w:rsid w:val="007A022B"/>
    <w:rsid w:val="007A0DB2"/>
    <w:rsid w:val="007A1A73"/>
    <w:rsid w:val="007A36E9"/>
    <w:rsid w:val="007A4FEA"/>
    <w:rsid w:val="007A5B26"/>
    <w:rsid w:val="007A710B"/>
    <w:rsid w:val="007A7447"/>
    <w:rsid w:val="007B0B70"/>
    <w:rsid w:val="007B317A"/>
    <w:rsid w:val="007B4614"/>
    <w:rsid w:val="007B7812"/>
    <w:rsid w:val="007B7FE9"/>
    <w:rsid w:val="007C11E0"/>
    <w:rsid w:val="007C3308"/>
    <w:rsid w:val="007C4C1F"/>
    <w:rsid w:val="007D0FFA"/>
    <w:rsid w:val="007D1773"/>
    <w:rsid w:val="007D3096"/>
    <w:rsid w:val="007D4356"/>
    <w:rsid w:val="007D4FCA"/>
    <w:rsid w:val="007D520B"/>
    <w:rsid w:val="007D5225"/>
    <w:rsid w:val="007D5AA4"/>
    <w:rsid w:val="007D6192"/>
    <w:rsid w:val="007D646F"/>
    <w:rsid w:val="007E0035"/>
    <w:rsid w:val="007F05BA"/>
    <w:rsid w:val="007F1688"/>
    <w:rsid w:val="007F17C2"/>
    <w:rsid w:val="007F3051"/>
    <w:rsid w:val="007F445F"/>
    <w:rsid w:val="007F69C4"/>
    <w:rsid w:val="007F6D71"/>
    <w:rsid w:val="00800158"/>
    <w:rsid w:val="00800C49"/>
    <w:rsid w:val="008019FB"/>
    <w:rsid w:val="00805B1A"/>
    <w:rsid w:val="00810AD6"/>
    <w:rsid w:val="00812666"/>
    <w:rsid w:val="00816354"/>
    <w:rsid w:val="0081653F"/>
    <w:rsid w:val="008178EF"/>
    <w:rsid w:val="00820B37"/>
    <w:rsid w:val="00825BEF"/>
    <w:rsid w:val="008275DE"/>
    <w:rsid w:val="0083025F"/>
    <w:rsid w:val="008312B3"/>
    <w:rsid w:val="00831A4E"/>
    <w:rsid w:val="00834158"/>
    <w:rsid w:val="00834F29"/>
    <w:rsid w:val="008350C6"/>
    <w:rsid w:val="00837133"/>
    <w:rsid w:val="00837DD3"/>
    <w:rsid w:val="00841FDD"/>
    <w:rsid w:val="00843099"/>
    <w:rsid w:val="00844A63"/>
    <w:rsid w:val="00845B6B"/>
    <w:rsid w:val="0085555C"/>
    <w:rsid w:val="0085722C"/>
    <w:rsid w:val="00860076"/>
    <w:rsid w:val="00864B42"/>
    <w:rsid w:val="00864EDC"/>
    <w:rsid w:val="008717FD"/>
    <w:rsid w:val="00872085"/>
    <w:rsid w:val="0087311E"/>
    <w:rsid w:val="008766A7"/>
    <w:rsid w:val="00877227"/>
    <w:rsid w:val="0088023F"/>
    <w:rsid w:val="00884AB2"/>
    <w:rsid w:val="008853E8"/>
    <w:rsid w:val="00890B67"/>
    <w:rsid w:val="00893361"/>
    <w:rsid w:val="00893A8E"/>
    <w:rsid w:val="00893CE3"/>
    <w:rsid w:val="008941F8"/>
    <w:rsid w:val="0089639E"/>
    <w:rsid w:val="0089684C"/>
    <w:rsid w:val="008A2223"/>
    <w:rsid w:val="008A2B0E"/>
    <w:rsid w:val="008A328F"/>
    <w:rsid w:val="008A42EB"/>
    <w:rsid w:val="008A4E58"/>
    <w:rsid w:val="008A5709"/>
    <w:rsid w:val="008B1A6F"/>
    <w:rsid w:val="008B35DA"/>
    <w:rsid w:val="008B4BFB"/>
    <w:rsid w:val="008B5FF5"/>
    <w:rsid w:val="008B6562"/>
    <w:rsid w:val="008B7C56"/>
    <w:rsid w:val="008C1BE0"/>
    <w:rsid w:val="008C5328"/>
    <w:rsid w:val="008C6844"/>
    <w:rsid w:val="008D1502"/>
    <w:rsid w:val="008D2E6B"/>
    <w:rsid w:val="008D3059"/>
    <w:rsid w:val="008D44E2"/>
    <w:rsid w:val="008D5C1B"/>
    <w:rsid w:val="008D5C1F"/>
    <w:rsid w:val="008D612C"/>
    <w:rsid w:val="008E06ED"/>
    <w:rsid w:val="008E0C90"/>
    <w:rsid w:val="008E18BB"/>
    <w:rsid w:val="008E340A"/>
    <w:rsid w:val="008F024A"/>
    <w:rsid w:val="008F4CD3"/>
    <w:rsid w:val="008F62FB"/>
    <w:rsid w:val="00900B1D"/>
    <w:rsid w:val="00901C67"/>
    <w:rsid w:val="00902AEC"/>
    <w:rsid w:val="009058DF"/>
    <w:rsid w:val="00910D7C"/>
    <w:rsid w:val="00910E34"/>
    <w:rsid w:val="00911A2A"/>
    <w:rsid w:val="00911CE5"/>
    <w:rsid w:val="009133CD"/>
    <w:rsid w:val="0091490C"/>
    <w:rsid w:val="009204DB"/>
    <w:rsid w:val="009206E4"/>
    <w:rsid w:val="0092128F"/>
    <w:rsid w:val="00922063"/>
    <w:rsid w:val="009220D3"/>
    <w:rsid w:val="009226F2"/>
    <w:rsid w:val="00926314"/>
    <w:rsid w:val="00926BD0"/>
    <w:rsid w:val="00930317"/>
    <w:rsid w:val="00933333"/>
    <w:rsid w:val="0093364F"/>
    <w:rsid w:val="00934E57"/>
    <w:rsid w:val="00936A0A"/>
    <w:rsid w:val="00944176"/>
    <w:rsid w:val="0094724D"/>
    <w:rsid w:val="00950406"/>
    <w:rsid w:val="009510ED"/>
    <w:rsid w:val="00954E13"/>
    <w:rsid w:val="00955098"/>
    <w:rsid w:val="00962A6D"/>
    <w:rsid w:val="009642C6"/>
    <w:rsid w:val="0096452B"/>
    <w:rsid w:val="00974FE4"/>
    <w:rsid w:val="00975377"/>
    <w:rsid w:val="00975848"/>
    <w:rsid w:val="0097752F"/>
    <w:rsid w:val="00980E2D"/>
    <w:rsid w:val="00981308"/>
    <w:rsid w:val="00983CDC"/>
    <w:rsid w:val="00983E62"/>
    <w:rsid w:val="009844EF"/>
    <w:rsid w:val="00984743"/>
    <w:rsid w:val="00985723"/>
    <w:rsid w:val="00985D99"/>
    <w:rsid w:val="009878F3"/>
    <w:rsid w:val="00987A4E"/>
    <w:rsid w:val="00987C57"/>
    <w:rsid w:val="009913A2"/>
    <w:rsid w:val="0099188F"/>
    <w:rsid w:val="009926D7"/>
    <w:rsid w:val="00993328"/>
    <w:rsid w:val="00993EA4"/>
    <w:rsid w:val="00994AF0"/>
    <w:rsid w:val="00995822"/>
    <w:rsid w:val="00997A44"/>
    <w:rsid w:val="009A1FC7"/>
    <w:rsid w:val="009A49DF"/>
    <w:rsid w:val="009A71B1"/>
    <w:rsid w:val="009A7254"/>
    <w:rsid w:val="009B2BF4"/>
    <w:rsid w:val="009B52A3"/>
    <w:rsid w:val="009B53BA"/>
    <w:rsid w:val="009B5C93"/>
    <w:rsid w:val="009B609B"/>
    <w:rsid w:val="009B6F4E"/>
    <w:rsid w:val="009B6FA5"/>
    <w:rsid w:val="009B725A"/>
    <w:rsid w:val="009B74CD"/>
    <w:rsid w:val="009C383A"/>
    <w:rsid w:val="009D1F6F"/>
    <w:rsid w:val="009D38DB"/>
    <w:rsid w:val="009D3D0A"/>
    <w:rsid w:val="009D628E"/>
    <w:rsid w:val="009D62DE"/>
    <w:rsid w:val="009E1F06"/>
    <w:rsid w:val="009E5D5B"/>
    <w:rsid w:val="009E5DEF"/>
    <w:rsid w:val="009E6B6B"/>
    <w:rsid w:val="009F212C"/>
    <w:rsid w:val="009F3B36"/>
    <w:rsid w:val="009F79E3"/>
    <w:rsid w:val="00A01A52"/>
    <w:rsid w:val="00A02A0A"/>
    <w:rsid w:val="00A0397F"/>
    <w:rsid w:val="00A04717"/>
    <w:rsid w:val="00A04E49"/>
    <w:rsid w:val="00A10236"/>
    <w:rsid w:val="00A10B7E"/>
    <w:rsid w:val="00A1142F"/>
    <w:rsid w:val="00A11E9D"/>
    <w:rsid w:val="00A1598C"/>
    <w:rsid w:val="00A15EDE"/>
    <w:rsid w:val="00A163CB"/>
    <w:rsid w:val="00A16C1B"/>
    <w:rsid w:val="00A24789"/>
    <w:rsid w:val="00A25268"/>
    <w:rsid w:val="00A31BD5"/>
    <w:rsid w:val="00A34924"/>
    <w:rsid w:val="00A35F3F"/>
    <w:rsid w:val="00A3755F"/>
    <w:rsid w:val="00A40234"/>
    <w:rsid w:val="00A4496C"/>
    <w:rsid w:val="00A47B0F"/>
    <w:rsid w:val="00A51BDA"/>
    <w:rsid w:val="00A52FED"/>
    <w:rsid w:val="00A5348C"/>
    <w:rsid w:val="00A547EA"/>
    <w:rsid w:val="00A54EE3"/>
    <w:rsid w:val="00A60040"/>
    <w:rsid w:val="00A61125"/>
    <w:rsid w:val="00A64033"/>
    <w:rsid w:val="00A65635"/>
    <w:rsid w:val="00A66230"/>
    <w:rsid w:val="00A666E6"/>
    <w:rsid w:val="00A66B33"/>
    <w:rsid w:val="00A706DE"/>
    <w:rsid w:val="00A70BEA"/>
    <w:rsid w:val="00A71CE6"/>
    <w:rsid w:val="00A7226B"/>
    <w:rsid w:val="00A74C23"/>
    <w:rsid w:val="00A75002"/>
    <w:rsid w:val="00A77E2C"/>
    <w:rsid w:val="00A80575"/>
    <w:rsid w:val="00A806B3"/>
    <w:rsid w:val="00A80820"/>
    <w:rsid w:val="00A80E57"/>
    <w:rsid w:val="00A82337"/>
    <w:rsid w:val="00A86EC3"/>
    <w:rsid w:val="00A90118"/>
    <w:rsid w:val="00A90821"/>
    <w:rsid w:val="00A928C5"/>
    <w:rsid w:val="00A94CCD"/>
    <w:rsid w:val="00A955A3"/>
    <w:rsid w:val="00A958C2"/>
    <w:rsid w:val="00A95C9E"/>
    <w:rsid w:val="00A96933"/>
    <w:rsid w:val="00A97213"/>
    <w:rsid w:val="00A97D34"/>
    <w:rsid w:val="00AA0A8F"/>
    <w:rsid w:val="00AA175E"/>
    <w:rsid w:val="00AA1B3F"/>
    <w:rsid w:val="00AA565B"/>
    <w:rsid w:val="00AA6572"/>
    <w:rsid w:val="00AA6DD9"/>
    <w:rsid w:val="00AA6DE0"/>
    <w:rsid w:val="00AB0EDD"/>
    <w:rsid w:val="00AB238D"/>
    <w:rsid w:val="00AB40BB"/>
    <w:rsid w:val="00AC05F4"/>
    <w:rsid w:val="00AC5DC1"/>
    <w:rsid w:val="00AD1275"/>
    <w:rsid w:val="00AD56BA"/>
    <w:rsid w:val="00AD76DC"/>
    <w:rsid w:val="00AE2498"/>
    <w:rsid w:val="00AE5941"/>
    <w:rsid w:val="00AE7E72"/>
    <w:rsid w:val="00AF00B0"/>
    <w:rsid w:val="00AF0B6E"/>
    <w:rsid w:val="00AF0BA1"/>
    <w:rsid w:val="00AF0C1B"/>
    <w:rsid w:val="00AF1152"/>
    <w:rsid w:val="00AF20DE"/>
    <w:rsid w:val="00AF2C7E"/>
    <w:rsid w:val="00AF337C"/>
    <w:rsid w:val="00AF365B"/>
    <w:rsid w:val="00AF3BC9"/>
    <w:rsid w:val="00B0152E"/>
    <w:rsid w:val="00B031CC"/>
    <w:rsid w:val="00B06F77"/>
    <w:rsid w:val="00B17EA4"/>
    <w:rsid w:val="00B2401D"/>
    <w:rsid w:val="00B271E2"/>
    <w:rsid w:val="00B27F1E"/>
    <w:rsid w:val="00B320E0"/>
    <w:rsid w:val="00B3230A"/>
    <w:rsid w:val="00B32D83"/>
    <w:rsid w:val="00B35A2B"/>
    <w:rsid w:val="00B3611E"/>
    <w:rsid w:val="00B371B7"/>
    <w:rsid w:val="00B40143"/>
    <w:rsid w:val="00B44598"/>
    <w:rsid w:val="00B44C87"/>
    <w:rsid w:val="00B45127"/>
    <w:rsid w:val="00B47772"/>
    <w:rsid w:val="00B5033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94713"/>
    <w:rsid w:val="00BB0DEC"/>
    <w:rsid w:val="00BB0ED6"/>
    <w:rsid w:val="00BB1C0A"/>
    <w:rsid w:val="00BB4376"/>
    <w:rsid w:val="00BB4A45"/>
    <w:rsid w:val="00BB4B74"/>
    <w:rsid w:val="00BB6FED"/>
    <w:rsid w:val="00BC41B2"/>
    <w:rsid w:val="00BC45B6"/>
    <w:rsid w:val="00BC4F9E"/>
    <w:rsid w:val="00BE0799"/>
    <w:rsid w:val="00BE26D9"/>
    <w:rsid w:val="00BF1119"/>
    <w:rsid w:val="00BF15AF"/>
    <w:rsid w:val="00BF5510"/>
    <w:rsid w:val="00C00C31"/>
    <w:rsid w:val="00C04C3E"/>
    <w:rsid w:val="00C0538D"/>
    <w:rsid w:val="00C070A2"/>
    <w:rsid w:val="00C10D37"/>
    <w:rsid w:val="00C13A0F"/>
    <w:rsid w:val="00C14C4A"/>
    <w:rsid w:val="00C1717D"/>
    <w:rsid w:val="00C17E66"/>
    <w:rsid w:val="00C22482"/>
    <w:rsid w:val="00C242A9"/>
    <w:rsid w:val="00C24D87"/>
    <w:rsid w:val="00C3032A"/>
    <w:rsid w:val="00C31C6D"/>
    <w:rsid w:val="00C31FF2"/>
    <w:rsid w:val="00C32DB1"/>
    <w:rsid w:val="00C33C36"/>
    <w:rsid w:val="00C34E53"/>
    <w:rsid w:val="00C37264"/>
    <w:rsid w:val="00C408D1"/>
    <w:rsid w:val="00C44645"/>
    <w:rsid w:val="00C454CD"/>
    <w:rsid w:val="00C45EA6"/>
    <w:rsid w:val="00C50A3F"/>
    <w:rsid w:val="00C51474"/>
    <w:rsid w:val="00C51847"/>
    <w:rsid w:val="00C54765"/>
    <w:rsid w:val="00C55C36"/>
    <w:rsid w:val="00C61072"/>
    <w:rsid w:val="00C6137D"/>
    <w:rsid w:val="00C61540"/>
    <w:rsid w:val="00C61B0C"/>
    <w:rsid w:val="00C62223"/>
    <w:rsid w:val="00C634E4"/>
    <w:rsid w:val="00C67D4C"/>
    <w:rsid w:val="00C706FA"/>
    <w:rsid w:val="00C7154F"/>
    <w:rsid w:val="00C71FD7"/>
    <w:rsid w:val="00C748B7"/>
    <w:rsid w:val="00C74C1A"/>
    <w:rsid w:val="00C808FE"/>
    <w:rsid w:val="00C81D18"/>
    <w:rsid w:val="00C82258"/>
    <w:rsid w:val="00C82744"/>
    <w:rsid w:val="00C828FD"/>
    <w:rsid w:val="00C836D9"/>
    <w:rsid w:val="00C84109"/>
    <w:rsid w:val="00C843F0"/>
    <w:rsid w:val="00C85F66"/>
    <w:rsid w:val="00C87F51"/>
    <w:rsid w:val="00C95F0B"/>
    <w:rsid w:val="00C96EE4"/>
    <w:rsid w:val="00CA0CFD"/>
    <w:rsid w:val="00CA37C8"/>
    <w:rsid w:val="00CA5047"/>
    <w:rsid w:val="00CA60A4"/>
    <w:rsid w:val="00CA7C2A"/>
    <w:rsid w:val="00CB1D36"/>
    <w:rsid w:val="00CC1221"/>
    <w:rsid w:val="00CC4EE7"/>
    <w:rsid w:val="00CD4CC6"/>
    <w:rsid w:val="00CD58FA"/>
    <w:rsid w:val="00CD5C22"/>
    <w:rsid w:val="00CD68A9"/>
    <w:rsid w:val="00CE0904"/>
    <w:rsid w:val="00CE363E"/>
    <w:rsid w:val="00CF1430"/>
    <w:rsid w:val="00CF1AE4"/>
    <w:rsid w:val="00D0046C"/>
    <w:rsid w:val="00D00979"/>
    <w:rsid w:val="00D01E3B"/>
    <w:rsid w:val="00D03790"/>
    <w:rsid w:val="00D05480"/>
    <w:rsid w:val="00D06EEA"/>
    <w:rsid w:val="00D11946"/>
    <w:rsid w:val="00D14F71"/>
    <w:rsid w:val="00D15612"/>
    <w:rsid w:val="00D156E5"/>
    <w:rsid w:val="00D17A89"/>
    <w:rsid w:val="00D204BD"/>
    <w:rsid w:val="00D21619"/>
    <w:rsid w:val="00D21B1B"/>
    <w:rsid w:val="00D220B5"/>
    <w:rsid w:val="00D26063"/>
    <w:rsid w:val="00D264DD"/>
    <w:rsid w:val="00D30FB0"/>
    <w:rsid w:val="00D32832"/>
    <w:rsid w:val="00D33C76"/>
    <w:rsid w:val="00D34827"/>
    <w:rsid w:val="00D3642E"/>
    <w:rsid w:val="00D37490"/>
    <w:rsid w:val="00D40105"/>
    <w:rsid w:val="00D41F8D"/>
    <w:rsid w:val="00D42C85"/>
    <w:rsid w:val="00D451AB"/>
    <w:rsid w:val="00D50991"/>
    <w:rsid w:val="00D578AF"/>
    <w:rsid w:val="00D60667"/>
    <w:rsid w:val="00D61DA0"/>
    <w:rsid w:val="00D65D7A"/>
    <w:rsid w:val="00D6793A"/>
    <w:rsid w:val="00D7347C"/>
    <w:rsid w:val="00D74D7F"/>
    <w:rsid w:val="00D75348"/>
    <w:rsid w:val="00D80CA8"/>
    <w:rsid w:val="00D80F6F"/>
    <w:rsid w:val="00D820E3"/>
    <w:rsid w:val="00D824E3"/>
    <w:rsid w:val="00D9342C"/>
    <w:rsid w:val="00D944CB"/>
    <w:rsid w:val="00DA326B"/>
    <w:rsid w:val="00DA3BCE"/>
    <w:rsid w:val="00DA59FA"/>
    <w:rsid w:val="00DB1157"/>
    <w:rsid w:val="00DB295F"/>
    <w:rsid w:val="00DB29E4"/>
    <w:rsid w:val="00DB3826"/>
    <w:rsid w:val="00DB47DC"/>
    <w:rsid w:val="00DB5C30"/>
    <w:rsid w:val="00DB74F2"/>
    <w:rsid w:val="00DC0ED1"/>
    <w:rsid w:val="00DC205C"/>
    <w:rsid w:val="00DC5687"/>
    <w:rsid w:val="00DC6575"/>
    <w:rsid w:val="00DC7A5D"/>
    <w:rsid w:val="00DD00EF"/>
    <w:rsid w:val="00DD1CF8"/>
    <w:rsid w:val="00DD6102"/>
    <w:rsid w:val="00DD71F1"/>
    <w:rsid w:val="00DE00C5"/>
    <w:rsid w:val="00DE3FB5"/>
    <w:rsid w:val="00DF2749"/>
    <w:rsid w:val="00DF60A6"/>
    <w:rsid w:val="00E00D0A"/>
    <w:rsid w:val="00E0490A"/>
    <w:rsid w:val="00E05B5A"/>
    <w:rsid w:val="00E05F1B"/>
    <w:rsid w:val="00E07B93"/>
    <w:rsid w:val="00E07E15"/>
    <w:rsid w:val="00E1354A"/>
    <w:rsid w:val="00E161F8"/>
    <w:rsid w:val="00E17612"/>
    <w:rsid w:val="00E2163C"/>
    <w:rsid w:val="00E261A4"/>
    <w:rsid w:val="00E26EE5"/>
    <w:rsid w:val="00E32815"/>
    <w:rsid w:val="00E33554"/>
    <w:rsid w:val="00E36A6D"/>
    <w:rsid w:val="00E40596"/>
    <w:rsid w:val="00E40BA9"/>
    <w:rsid w:val="00E41B77"/>
    <w:rsid w:val="00E45EC3"/>
    <w:rsid w:val="00E47C4F"/>
    <w:rsid w:val="00E52E1F"/>
    <w:rsid w:val="00E53BBB"/>
    <w:rsid w:val="00E541A3"/>
    <w:rsid w:val="00E54370"/>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97F0E"/>
    <w:rsid w:val="00EA1188"/>
    <w:rsid w:val="00EB0752"/>
    <w:rsid w:val="00EB0AE1"/>
    <w:rsid w:val="00EB1186"/>
    <w:rsid w:val="00EB7457"/>
    <w:rsid w:val="00EB77CC"/>
    <w:rsid w:val="00EC0997"/>
    <w:rsid w:val="00EC2EEF"/>
    <w:rsid w:val="00EC5DDD"/>
    <w:rsid w:val="00ED2F39"/>
    <w:rsid w:val="00ED30F4"/>
    <w:rsid w:val="00ED43BB"/>
    <w:rsid w:val="00ED449A"/>
    <w:rsid w:val="00ED68E9"/>
    <w:rsid w:val="00EE1FC2"/>
    <w:rsid w:val="00EE419C"/>
    <w:rsid w:val="00EF1B29"/>
    <w:rsid w:val="00EF52E8"/>
    <w:rsid w:val="00EF670C"/>
    <w:rsid w:val="00F1132A"/>
    <w:rsid w:val="00F11F09"/>
    <w:rsid w:val="00F12FF6"/>
    <w:rsid w:val="00F1455B"/>
    <w:rsid w:val="00F16D36"/>
    <w:rsid w:val="00F210FD"/>
    <w:rsid w:val="00F24DF0"/>
    <w:rsid w:val="00F250D2"/>
    <w:rsid w:val="00F311E4"/>
    <w:rsid w:val="00F32233"/>
    <w:rsid w:val="00F33087"/>
    <w:rsid w:val="00F350B2"/>
    <w:rsid w:val="00F372A2"/>
    <w:rsid w:val="00F4243D"/>
    <w:rsid w:val="00F4304A"/>
    <w:rsid w:val="00F43155"/>
    <w:rsid w:val="00F4471C"/>
    <w:rsid w:val="00F44DA4"/>
    <w:rsid w:val="00F45BA7"/>
    <w:rsid w:val="00F45BE9"/>
    <w:rsid w:val="00F46308"/>
    <w:rsid w:val="00F46F4A"/>
    <w:rsid w:val="00F52CE1"/>
    <w:rsid w:val="00F55147"/>
    <w:rsid w:val="00F57917"/>
    <w:rsid w:val="00F60788"/>
    <w:rsid w:val="00F7063D"/>
    <w:rsid w:val="00F70C88"/>
    <w:rsid w:val="00F7168A"/>
    <w:rsid w:val="00F734AD"/>
    <w:rsid w:val="00F745D9"/>
    <w:rsid w:val="00F76618"/>
    <w:rsid w:val="00F76E42"/>
    <w:rsid w:val="00F81D1B"/>
    <w:rsid w:val="00F81D9C"/>
    <w:rsid w:val="00F83FBC"/>
    <w:rsid w:val="00F841A7"/>
    <w:rsid w:val="00F84292"/>
    <w:rsid w:val="00F85A90"/>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2F20"/>
    <w:rsid w:val="00FC4DE3"/>
    <w:rsid w:val="00FC6716"/>
    <w:rsid w:val="00FD00A5"/>
    <w:rsid w:val="00FD02FD"/>
    <w:rsid w:val="00FD4B0F"/>
    <w:rsid w:val="00FD4E88"/>
    <w:rsid w:val="00FE0661"/>
    <w:rsid w:val="00FF0C09"/>
    <w:rsid w:val="00FF1DD7"/>
    <w:rsid w:val="00FF3775"/>
    <w:rsid w:val="00FF5F36"/>
    <w:rsid w:val="01CE5D1C"/>
    <w:rsid w:val="026475DE"/>
    <w:rsid w:val="039E595D"/>
    <w:rsid w:val="06E15F8D"/>
    <w:rsid w:val="070F07F6"/>
    <w:rsid w:val="0765096C"/>
    <w:rsid w:val="08083403"/>
    <w:rsid w:val="081C3970"/>
    <w:rsid w:val="09BE5E2A"/>
    <w:rsid w:val="0A091F73"/>
    <w:rsid w:val="0A8504E9"/>
    <w:rsid w:val="0AF54E47"/>
    <w:rsid w:val="0B073D25"/>
    <w:rsid w:val="0C9D4EAB"/>
    <w:rsid w:val="0D92619C"/>
    <w:rsid w:val="0DEA65B5"/>
    <w:rsid w:val="0F412CA9"/>
    <w:rsid w:val="0FD566D2"/>
    <w:rsid w:val="12B72298"/>
    <w:rsid w:val="13B2170D"/>
    <w:rsid w:val="13B97480"/>
    <w:rsid w:val="14034EB5"/>
    <w:rsid w:val="144D0ACC"/>
    <w:rsid w:val="14870494"/>
    <w:rsid w:val="15085E8C"/>
    <w:rsid w:val="15174F60"/>
    <w:rsid w:val="1556095A"/>
    <w:rsid w:val="167D7F24"/>
    <w:rsid w:val="17306AB5"/>
    <w:rsid w:val="17373F64"/>
    <w:rsid w:val="17A54843"/>
    <w:rsid w:val="19534DA3"/>
    <w:rsid w:val="19A054D6"/>
    <w:rsid w:val="1B0717C8"/>
    <w:rsid w:val="1BA03836"/>
    <w:rsid w:val="1BE33681"/>
    <w:rsid w:val="1DCB4E4A"/>
    <w:rsid w:val="1E1467F1"/>
    <w:rsid w:val="1FBDA86D"/>
    <w:rsid w:val="207417C9"/>
    <w:rsid w:val="21862EC6"/>
    <w:rsid w:val="22917A29"/>
    <w:rsid w:val="237A2B2A"/>
    <w:rsid w:val="242D2C2D"/>
    <w:rsid w:val="25FBCF81"/>
    <w:rsid w:val="26A03BCD"/>
    <w:rsid w:val="27A55361"/>
    <w:rsid w:val="28FB2A87"/>
    <w:rsid w:val="2C4F36F5"/>
    <w:rsid w:val="2D5F22BD"/>
    <w:rsid w:val="2FF37D11"/>
    <w:rsid w:val="3013049D"/>
    <w:rsid w:val="332C3D99"/>
    <w:rsid w:val="334836EB"/>
    <w:rsid w:val="33484B1B"/>
    <w:rsid w:val="339259E4"/>
    <w:rsid w:val="343F42CC"/>
    <w:rsid w:val="365875C5"/>
    <w:rsid w:val="39356049"/>
    <w:rsid w:val="399D36E6"/>
    <w:rsid w:val="3B4E60E4"/>
    <w:rsid w:val="3BFE2074"/>
    <w:rsid w:val="3C6A3D54"/>
    <w:rsid w:val="3E207318"/>
    <w:rsid w:val="3F8C7277"/>
    <w:rsid w:val="3FA0222F"/>
    <w:rsid w:val="3FDF106E"/>
    <w:rsid w:val="42C133BC"/>
    <w:rsid w:val="42D769B6"/>
    <w:rsid w:val="44F600D3"/>
    <w:rsid w:val="45617704"/>
    <w:rsid w:val="459B4F7E"/>
    <w:rsid w:val="48B048DB"/>
    <w:rsid w:val="4A4831FA"/>
    <w:rsid w:val="4B7C707F"/>
    <w:rsid w:val="4B8C0594"/>
    <w:rsid w:val="4BDFF161"/>
    <w:rsid w:val="4C0F7B1B"/>
    <w:rsid w:val="4C887636"/>
    <w:rsid w:val="4CFE380A"/>
    <w:rsid w:val="4D862B8C"/>
    <w:rsid w:val="4DFF35F5"/>
    <w:rsid w:val="4EBF1B1D"/>
    <w:rsid w:val="4EF47599"/>
    <w:rsid w:val="4FE3578A"/>
    <w:rsid w:val="512E1B84"/>
    <w:rsid w:val="51395722"/>
    <w:rsid w:val="51F0380C"/>
    <w:rsid w:val="5382777D"/>
    <w:rsid w:val="53CF9561"/>
    <w:rsid w:val="546121C6"/>
    <w:rsid w:val="54E94B5B"/>
    <w:rsid w:val="55661639"/>
    <w:rsid w:val="55761622"/>
    <w:rsid w:val="570B0F73"/>
    <w:rsid w:val="5BD857FA"/>
    <w:rsid w:val="5C080481"/>
    <w:rsid w:val="5D1B4C6E"/>
    <w:rsid w:val="5D781C6B"/>
    <w:rsid w:val="5DFE65DB"/>
    <w:rsid w:val="5E0D5D72"/>
    <w:rsid w:val="5E202145"/>
    <w:rsid w:val="5F621BCD"/>
    <w:rsid w:val="6031647B"/>
    <w:rsid w:val="60B9109D"/>
    <w:rsid w:val="62F74A7A"/>
    <w:rsid w:val="63BB5260"/>
    <w:rsid w:val="63D25BB7"/>
    <w:rsid w:val="64C23E7D"/>
    <w:rsid w:val="65EE9BF0"/>
    <w:rsid w:val="668E2223"/>
    <w:rsid w:val="67FFD309"/>
    <w:rsid w:val="683026D9"/>
    <w:rsid w:val="693F388B"/>
    <w:rsid w:val="69FFFC0A"/>
    <w:rsid w:val="6D6B2492"/>
    <w:rsid w:val="6DBA21A1"/>
    <w:rsid w:val="6F136B04"/>
    <w:rsid w:val="71C8627B"/>
    <w:rsid w:val="7304780E"/>
    <w:rsid w:val="73731F46"/>
    <w:rsid w:val="75624C21"/>
    <w:rsid w:val="75BB73CE"/>
    <w:rsid w:val="75ED0344"/>
    <w:rsid w:val="771C63A2"/>
    <w:rsid w:val="78AF3D07"/>
    <w:rsid w:val="7AB14320"/>
    <w:rsid w:val="7AF5051C"/>
    <w:rsid w:val="7BBA680A"/>
    <w:rsid w:val="7BE826AE"/>
    <w:rsid w:val="7BF3368A"/>
    <w:rsid w:val="7CCF532E"/>
    <w:rsid w:val="7D534C0C"/>
    <w:rsid w:val="7DF033B2"/>
    <w:rsid w:val="7E00338F"/>
    <w:rsid w:val="7FAF8CE9"/>
    <w:rsid w:val="7FBE4C82"/>
    <w:rsid w:val="BDF63E3D"/>
    <w:rsid w:val="CB7C5BFC"/>
    <w:rsid w:val="DF3A5D3C"/>
    <w:rsid w:val="EEE3C452"/>
    <w:rsid w:val="EEF751F1"/>
    <w:rsid w:val="F57963B0"/>
    <w:rsid w:val="F9DB69FD"/>
    <w:rsid w:val="FF7E6780"/>
    <w:rsid w:val="FF7F5C5C"/>
    <w:rsid w:val="FFFEF4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0" w:semiHidden="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qFormat="1"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0"/>
    <w:pPr>
      <w:spacing w:after="120"/>
    </w:pPr>
  </w:style>
  <w:style w:type="paragraph" w:styleId="3">
    <w:name w:val="Date"/>
    <w:basedOn w:val="1"/>
    <w:next w:val="1"/>
    <w:link w:val="50"/>
    <w:semiHidden/>
    <w:unhideWhenUsed/>
    <w:qFormat/>
    <w:uiPriority w:val="0"/>
    <w:pPr>
      <w:ind w:left="100" w:leftChars="2500"/>
    </w:pPr>
  </w:style>
  <w:style w:type="paragraph" w:styleId="4">
    <w:name w:val="Balloon Text"/>
    <w:basedOn w:val="1"/>
    <w:link w:val="37"/>
    <w:semiHidden/>
    <w:unhideWhenUsed/>
    <w:qFormat/>
    <w:uiPriority w:val="0"/>
    <w:rPr>
      <w:sz w:val="18"/>
      <w:szCs w:val="18"/>
    </w:rPr>
  </w:style>
  <w:style w:type="paragraph" w:styleId="5">
    <w:name w:val="footer"/>
    <w:basedOn w:val="1"/>
    <w:link w:val="29"/>
    <w:qFormat/>
    <w:uiPriority w:val="99"/>
    <w:pPr>
      <w:tabs>
        <w:tab w:val="center" w:pos="4153"/>
        <w:tab w:val="right" w:pos="8306"/>
      </w:tabs>
      <w:snapToGrid w:val="0"/>
      <w:jc w:val="left"/>
    </w:pPr>
    <w:rPr>
      <w:sz w:val="18"/>
      <w:szCs w:val="18"/>
    </w:rPr>
  </w:style>
  <w:style w:type="paragraph" w:styleId="6">
    <w:name w:val="header"/>
    <w:basedOn w:val="1"/>
    <w:link w:val="28"/>
    <w:qFormat/>
    <w:uiPriority w:val="0"/>
    <w:pPr>
      <w:pBdr>
        <w:bottom w:val="single" w:color="auto" w:sz="6" w:space="1"/>
      </w:pBdr>
      <w:tabs>
        <w:tab w:val="center" w:pos="4153"/>
        <w:tab w:val="right" w:pos="8306"/>
      </w:tabs>
      <w:snapToGrid w:val="0"/>
      <w:jc w:val="center"/>
    </w:pPr>
    <w:rPr>
      <w:sz w:val="18"/>
      <w:szCs w:val="18"/>
    </w:rPr>
  </w:style>
  <w:style w:type="paragraph" w:styleId="7">
    <w:name w:val="Normal (Web)"/>
    <w:basedOn w:val="1"/>
    <w:qFormat/>
    <w:uiPriority w:val="99"/>
    <w:pPr>
      <w:spacing w:before="100" w:beforeAutospacing="1" w:after="100" w:afterAutospacing="1"/>
      <w:jc w:val="left"/>
    </w:pPr>
    <w:rPr>
      <w:kern w:val="0"/>
      <w:sz w:val="24"/>
    </w:rPr>
  </w:style>
  <w:style w:type="table" w:styleId="9">
    <w:name w:val="Table Grid"/>
    <w:basedOn w:val="8"/>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11">
    <w:name w:val="Hyperlink"/>
    <w:basedOn w:val="10"/>
    <w:unhideWhenUsed/>
    <w:qFormat/>
    <w:uiPriority w:val="99"/>
    <w:rPr>
      <w:color w:val="0000FF"/>
      <w:u w:val="single"/>
    </w:rPr>
  </w:style>
  <w:style w:type="paragraph" w:customStyle="1" w:styleId="12">
    <w:name w:val="段"/>
    <w:link w:val="27"/>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3">
    <w:name w:val="正文表标题"/>
    <w:next w:val="12"/>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4">
    <w:name w:val="正文图标题"/>
    <w:next w:val="12"/>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5">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6">
    <w:name w:val="一级条标题"/>
    <w:next w:val="12"/>
    <w:qFormat/>
    <w:uiPriority w:val="0"/>
    <w:pPr>
      <w:spacing w:beforeLines="50" w:afterLines="50"/>
      <w:ind w:left="525"/>
      <w:outlineLvl w:val="2"/>
    </w:pPr>
    <w:rPr>
      <w:rFonts w:ascii="黑体" w:hAnsi="Times New Roman" w:eastAsia="黑体" w:cs="Times New Roman"/>
      <w:sz w:val="21"/>
      <w:szCs w:val="21"/>
      <w:lang w:val="en-US" w:eastAsia="zh-CN" w:bidi="ar-SA"/>
    </w:rPr>
  </w:style>
  <w:style w:type="paragraph" w:customStyle="1" w:styleId="17">
    <w:name w:val="章标题"/>
    <w:next w:val="12"/>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8">
    <w:name w:val="二级条标题"/>
    <w:basedOn w:val="16"/>
    <w:next w:val="12"/>
    <w:qFormat/>
    <w:uiPriority w:val="0"/>
    <w:pPr>
      <w:spacing w:before="50" w:after="50"/>
      <w:outlineLvl w:val="3"/>
    </w:pPr>
  </w:style>
  <w:style w:type="paragraph" w:customStyle="1" w:styleId="19">
    <w:name w:val="三级条标题"/>
    <w:basedOn w:val="18"/>
    <w:next w:val="12"/>
    <w:qFormat/>
    <w:uiPriority w:val="0"/>
    <w:pPr>
      <w:outlineLvl w:val="4"/>
    </w:pPr>
  </w:style>
  <w:style w:type="paragraph" w:customStyle="1" w:styleId="20">
    <w:name w:val="四级条标题"/>
    <w:basedOn w:val="19"/>
    <w:next w:val="12"/>
    <w:qFormat/>
    <w:uiPriority w:val="0"/>
    <w:pPr>
      <w:outlineLvl w:val="5"/>
    </w:pPr>
  </w:style>
  <w:style w:type="paragraph" w:customStyle="1" w:styleId="21">
    <w:name w:val="五级条标题"/>
    <w:basedOn w:val="20"/>
    <w:next w:val="12"/>
    <w:qFormat/>
    <w:uiPriority w:val="0"/>
    <w:pPr>
      <w:outlineLvl w:val="6"/>
    </w:pPr>
  </w:style>
  <w:style w:type="paragraph" w:customStyle="1" w:styleId="22">
    <w:name w:val="注："/>
    <w:next w:val="12"/>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3">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4">
    <w:name w:val="附录图标题"/>
    <w:basedOn w:val="1"/>
    <w:next w:val="12"/>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5">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6">
    <w:name w:val="图表脚注说明"/>
    <w:basedOn w:val="1"/>
    <w:qFormat/>
    <w:uiPriority w:val="0"/>
    <w:pPr>
      <w:numPr>
        <w:ilvl w:val="0"/>
        <w:numId w:val="7"/>
      </w:numPr>
    </w:pPr>
    <w:rPr>
      <w:rFonts w:ascii="宋体"/>
      <w:sz w:val="18"/>
      <w:szCs w:val="18"/>
    </w:rPr>
  </w:style>
  <w:style w:type="character" w:customStyle="1" w:styleId="27">
    <w:name w:val="段 Char"/>
    <w:basedOn w:val="10"/>
    <w:link w:val="12"/>
    <w:qFormat/>
    <w:uiPriority w:val="0"/>
    <w:rPr>
      <w:rFonts w:ascii="宋体"/>
      <w:sz w:val="21"/>
      <w:lang w:val="en-US" w:eastAsia="zh-CN" w:bidi="ar-SA"/>
    </w:rPr>
  </w:style>
  <w:style w:type="character" w:customStyle="1" w:styleId="28">
    <w:name w:val="页眉 Char"/>
    <w:basedOn w:val="10"/>
    <w:link w:val="6"/>
    <w:qFormat/>
    <w:uiPriority w:val="0"/>
    <w:rPr>
      <w:kern w:val="2"/>
      <w:sz w:val="18"/>
      <w:szCs w:val="18"/>
    </w:rPr>
  </w:style>
  <w:style w:type="character" w:customStyle="1" w:styleId="29">
    <w:name w:val="页脚 Char"/>
    <w:basedOn w:val="10"/>
    <w:link w:val="5"/>
    <w:qFormat/>
    <w:uiPriority w:val="99"/>
    <w:rPr>
      <w:kern w:val="2"/>
      <w:sz w:val="18"/>
      <w:szCs w:val="18"/>
    </w:rPr>
  </w:style>
  <w:style w:type="paragraph" w:customStyle="1" w:styleId="30">
    <w:name w:val="附录表标题"/>
    <w:basedOn w:val="1"/>
    <w:next w:val="12"/>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31">
    <w:name w:val="List Paragraph"/>
    <w:basedOn w:val="1"/>
    <w:unhideWhenUsed/>
    <w:qFormat/>
    <w:uiPriority w:val="34"/>
    <w:pPr>
      <w:ind w:firstLine="420"/>
    </w:pPr>
  </w:style>
  <w:style w:type="paragraph" w:customStyle="1" w:styleId="32">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3">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4">
    <w:name w:val="发布"/>
    <w:qFormat/>
    <w:uiPriority w:val="0"/>
    <w:rPr>
      <w:rFonts w:ascii="黑体" w:eastAsia="黑体"/>
      <w:spacing w:val="22"/>
      <w:w w:val="100"/>
      <w:position w:val="3"/>
      <w:sz w:val="28"/>
    </w:rPr>
  </w:style>
  <w:style w:type="paragraph" w:customStyle="1" w:styleId="35">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6">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7">
    <w:name w:val="批注框文本 Char"/>
    <w:basedOn w:val="10"/>
    <w:link w:val="4"/>
    <w:semiHidden/>
    <w:qFormat/>
    <w:uiPriority w:val="0"/>
    <w:rPr>
      <w:rFonts w:ascii="Times New Roman" w:hAnsi="Times New Roman"/>
      <w:kern w:val="2"/>
      <w:sz w:val="18"/>
      <w:szCs w:val="18"/>
    </w:rPr>
  </w:style>
  <w:style w:type="paragraph" w:customStyle="1" w:styleId="38">
    <w:name w:val="BodyText2"/>
    <w:qFormat/>
    <w:uiPriority w:val="0"/>
    <w:pPr>
      <w:widowControl w:val="0"/>
      <w:spacing w:after="120" w:line="480" w:lineRule="auto"/>
      <w:jc w:val="both"/>
      <w:textAlignment w:val="baseline"/>
    </w:pPr>
    <w:rPr>
      <w:rFonts w:ascii="Times New Roman" w:hAnsi="Times New Roman" w:eastAsia="宋体" w:cs="Times New Roman"/>
      <w:kern w:val="2"/>
      <w:sz w:val="32"/>
      <w:szCs w:val="32"/>
      <w:lang w:val="en-US" w:eastAsia="zh-CN" w:bidi="ar-SA"/>
    </w:rPr>
  </w:style>
  <w:style w:type="paragraph" w:customStyle="1" w:styleId="39">
    <w:name w:val="一级无"/>
    <w:basedOn w:val="16"/>
    <w:qFormat/>
    <w:uiPriority w:val="0"/>
    <w:pPr>
      <w:numPr>
        <w:ilvl w:val="1"/>
        <w:numId w:val="3"/>
      </w:numPr>
      <w:spacing w:beforeLines="0" w:afterLines="0"/>
    </w:pPr>
    <w:rPr>
      <w:rFonts w:ascii="宋体" w:eastAsia="宋体"/>
    </w:rPr>
  </w:style>
  <w:style w:type="paragraph" w:customStyle="1" w:styleId="40">
    <w:name w:val="标准文件_一级无标题"/>
    <w:basedOn w:val="41"/>
    <w:qFormat/>
    <w:uiPriority w:val="0"/>
    <w:pPr>
      <w:numPr>
        <w:numId w:val="9"/>
      </w:numPr>
      <w:tabs>
        <w:tab w:val="left" w:pos="0"/>
      </w:tabs>
    </w:pPr>
    <w:rPr>
      <w:rFonts w:hint="eastAsia" w:ascii="宋体"/>
    </w:rPr>
  </w:style>
  <w:style w:type="paragraph" w:customStyle="1" w:styleId="41">
    <w:name w:val="标准文件_一级条标题"/>
    <w:basedOn w:val="42"/>
    <w:next w:val="36"/>
    <w:qFormat/>
    <w:uiPriority w:val="0"/>
    <w:pPr>
      <w:numPr>
        <w:ilvl w:val="2"/>
      </w:numPr>
      <w:spacing w:before="50" w:beforeLines="50" w:after="50" w:afterLines="50"/>
      <w:outlineLvl w:val="1"/>
    </w:pPr>
  </w:style>
  <w:style w:type="paragraph" w:customStyle="1" w:styleId="42">
    <w:name w:val="标准文件_章标题"/>
    <w:next w:val="36"/>
    <w:qFormat/>
    <w:uiPriority w:val="0"/>
    <w:pPr>
      <w:numPr>
        <w:ilvl w:val="1"/>
        <w:numId w:val="10"/>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43">
    <w:name w:val="标准文件_二级无标题"/>
    <w:qFormat/>
    <w:uiPriority w:val="0"/>
    <w:pPr>
      <w:widowControl w:val="0"/>
      <w:numPr>
        <w:ilvl w:val="3"/>
        <w:numId w:val="11"/>
      </w:numPr>
      <w:jc w:val="both"/>
    </w:pPr>
    <w:rPr>
      <w:rFonts w:hint="eastAsia" w:ascii="宋体" w:hAnsi="Times New Roman" w:eastAsia="宋体" w:cs="Times New Roman"/>
      <w:sz w:val="21"/>
      <w:lang w:val="en-US" w:eastAsia="zh-CN" w:bidi="ar-SA"/>
    </w:rPr>
  </w:style>
  <w:style w:type="paragraph" w:customStyle="1" w:styleId="44">
    <w:name w:val="标准文件_一级项"/>
    <w:basedOn w:val="1"/>
    <w:qFormat/>
    <w:uiPriority w:val="0"/>
    <w:pPr>
      <w:widowControl/>
      <w:numPr>
        <w:ilvl w:val="0"/>
        <w:numId w:val="12"/>
      </w:numPr>
      <w:jc w:val="left"/>
    </w:pPr>
    <w:rPr>
      <w:rFonts w:hint="eastAsia" w:ascii="宋体" w:eastAsia="宋体"/>
      <w:kern w:val="0"/>
      <w:sz w:val="21"/>
      <w:szCs w:val="20"/>
    </w:rPr>
  </w:style>
  <w:style w:type="character" w:customStyle="1" w:styleId="45">
    <w:name w:val="标准文件_段 Char"/>
    <w:basedOn w:val="10"/>
    <w:qFormat/>
    <w:uiPriority w:val="0"/>
    <w:rPr>
      <w:rFonts w:hint="eastAsia" w:ascii="宋体" w:hAnsi="宋体" w:eastAsia="宋体" w:cs="宋体"/>
      <w:sz w:val="21"/>
    </w:rPr>
  </w:style>
  <w:style w:type="paragraph" w:customStyle="1" w:styleId="46">
    <w:name w:val="标准文件_二级条标题"/>
    <w:basedOn w:val="1"/>
    <w:qFormat/>
    <w:uiPriority w:val="0"/>
    <w:pPr>
      <w:numPr>
        <w:ilvl w:val="3"/>
        <w:numId w:val="13"/>
      </w:numPr>
      <w:spacing w:beforeLines="50" w:afterLines="50"/>
      <w:outlineLvl w:val="2"/>
    </w:pPr>
    <w:rPr>
      <w:rFonts w:hint="eastAsia" w:ascii="黑体" w:eastAsia="黑体"/>
      <w:kern w:val="0"/>
      <w:sz w:val="21"/>
      <w:szCs w:val="20"/>
    </w:rPr>
  </w:style>
  <w:style w:type="paragraph" w:customStyle="1" w:styleId="47">
    <w:name w:val="标准文件_附录一级条标题"/>
    <w:basedOn w:val="1"/>
    <w:next w:val="1"/>
    <w:qFormat/>
    <w:uiPriority w:val="0"/>
    <w:pPr>
      <w:numPr>
        <w:ilvl w:val="1"/>
        <w:numId w:val="14"/>
      </w:numPr>
      <w:spacing w:beforeLines="50" w:afterLines="50"/>
      <w:outlineLvl w:val="2"/>
    </w:pPr>
    <w:rPr>
      <w:rFonts w:hint="eastAsia" w:ascii="黑体" w:eastAsia="黑体"/>
      <w:kern w:val="21"/>
      <w:sz w:val="21"/>
      <w:szCs w:val="20"/>
    </w:rPr>
  </w:style>
  <w:style w:type="paragraph" w:customStyle="1" w:styleId="48">
    <w:name w:val="标准文件_附录表标题"/>
    <w:basedOn w:val="1"/>
    <w:qFormat/>
    <w:uiPriority w:val="0"/>
    <w:pPr>
      <w:widowControl/>
      <w:numPr>
        <w:ilvl w:val="1"/>
        <w:numId w:val="15"/>
      </w:numPr>
      <w:adjustRightInd w:val="0"/>
      <w:snapToGrid w:val="0"/>
      <w:spacing w:beforeLines="50" w:afterLines="50"/>
      <w:jc w:val="center"/>
    </w:pPr>
    <w:rPr>
      <w:rFonts w:hint="eastAsia" w:ascii="黑体" w:eastAsia="黑体"/>
      <w:kern w:val="21"/>
      <w:sz w:val="21"/>
      <w:szCs w:val="20"/>
    </w:rPr>
  </w:style>
  <w:style w:type="paragraph" w:customStyle="1" w:styleId="49">
    <w:name w:val="标准文件_注："/>
    <w:basedOn w:val="1"/>
    <w:qFormat/>
    <w:uiPriority w:val="0"/>
    <w:pPr>
      <w:numPr>
        <w:ilvl w:val="0"/>
        <w:numId w:val="16"/>
      </w:numPr>
      <w:autoSpaceDE w:val="0"/>
      <w:autoSpaceDN w:val="0"/>
    </w:pPr>
    <w:rPr>
      <w:rFonts w:hint="eastAsia" w:ascii="宋体" w:eastAsia="宋体"/>
      <w:kern w:val="0"/>
      <w:sz w:val="18"/>
      <w:szCs w:val="18"/>
    </w:rPr>
  </w:style>
  <w:style w:type="character" w:customStyle="1" w:styleId="50">
    <w:name w:val="日期 Char"/>
    <w:basedOn w:val="10"/>
    <w:link w:val="3"/>
    <w:semiHidden/>
    <w:qFormat/>
    <w:uiPriority w:val="0"/>
    <w:rPr>
      <w:rFonts w:eastAsia="仿宋_GB2312"/>
      <w:kern w:val="2"/>
      <w:sz w:val="32"/>
      <w:szCs w:val="24"/>
    </w:rPr>
  </w:style>
  <w:style w:type="character" w:customStyle="1" w:styleId="51">
    <w:name w:val="katex-mathml"/>
    <w:basedOn w:val="10"/>
    <w:qFormat/>
    <w:uiPriority w:val="0"/>
  </w:style>
  <w:style w:type="character" w:customStyle="1" w:styleId="52">
    <w:name w:val="mord"/>
    <w:basedOn w:val="10"/>
    <w:qFormat/>
    <w:uiPriority w:val="0"/>
  </w:style>
  <w:style w:type="character" w:customStyle="1" w:styleId="53">
    <w:name w:val="mrel"/>
    <w:basedOn w:val="10"/>
    <w:uiPriority w:val="0"/>
  </w:style>
  <w:style w:type="paragraph" w:customStyle="1" w:styleId="54">
    <w:name w:val="标准文件_表格"/>
    <w:basedOn w:val="36"/>
    <w:qFormat/>
    <w:uiPriority w:val="0"/>
    <w:pPr>
      <w:ind w:firstLine="0" w:firstLineChars="0"/>
      <w:jc w:val="center"/>
    </w:pPr>
    <w:rPr>
      <w:sz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numbering" Target="numbering.xml"/><Relationship Id="rId17" Type="http://schemas.openxmlformats.org/officeDocument/2006/relationships/image" Target="media/image6.png"/><Relationship Id="rId16" Type="http://schemas.openxmlformats.org/officeDocument/2006/relationships/image" Target="media/image5.jpe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E04AD7-FE4C-4BC9-B7DB-C9D89F30E2CF}">
  <ds:schemaRefs/>
</ds:datastoreItem>
</file>

<file path=docProps/app.xml><?xml version="1.0" encoding="utf-8"?>
<Properties xmlns="http://schemas.openxmlformats.org/officeDocument/2006/extended-properties" xmlns:vt="http://schemas.openxmlformats.org/officeDocument/2006/docPropsVTypes">
  <Template>Normal</Template>
  <Company>WWW.YlmF.CoM</Company>
  <Pages>24</Pages>
  <Words>1992</Words>
  <Characters>2025</Characters>
  <Lines>96</Lines>
  <Paragraphs>27</Paragraphs>
  <TotalTime>1</TotalTime>
  <ScaleCrop>false</ScaleCrop>
  <LinksUpToDate>false</LinksUpToDate>
  <CharactersWithSpaces>2027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2025-03-13T06:27:00Z</dcterms:created>
  <dc:creator>USER</dc:creator>
  <cp:lastModifiedBy>追遥</cp:lastModifiedBy>
  <cp:lastPrinted>2025-09-28T06:58:00Z</cp:lastPrinted>
  <dcterms:modified xsi:type="dcterms:W3CDTF">2026-03-25T10:40:25Z</dcterms:modified>
  <dc:title>广西地方标准《脱氢枞酸》（征求意见稿）</dc:title>
  <cp:revision>104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C602A70AD9DF4C2AAF99F4DAAFB75B9D_13</vt:lpwstr>
  </property>
  <property fmtid="{D5CDD505-2E9C-101B-9397-08002B2CF9AE}" pid="4" name="KSOTemplateDocerSaveRecord">
    <vt:lpwstr>eyJoZGlkIjoiZTI0ODQwYWI0NTRkNTA0NmRmMDcwNWEzYWY4NzYxNWMiLCJ1c2VySWQiOiI0NDI1MTU5MDcifQ==</vt:lpwstr>
  </property>
</Properties>
</file>